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Ивановской области от 03.06.2024 N 232-п</w:t>
              <w:br/>
              <w:t xml:space="preserve">(ред. от 22.05.2026)</w:t>
              <w:br/>
              <w:t xml:space="preserve">"Об утверждении региональной адресной программы "Переселение граждан из аварийного жилищного фонда на территории Ивановской области на 2024 - 2030 годы"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30.09.2026</w:t>
            </w:r>
            <w:r>
              <w:rPr>
                <w:sz w:val="28"/>
              </w:rPr>
              <w:br/>
              <w:t xml:space="preserve"> </w:t>
            </w:r>
          </w:p>
        </w:tc>
      </w:tr>
    </w:tbl>
    <w:p>
      <w:pPr>
        <w:sectPr>
          <w:pgSz w:w="11906" w:h="16838"/>
          <w:pgMar w:top="841" w:right="595" w:bottom="841" w:left="595" w:header="0" w:footer="0" w:gutter="0"/>
          <w:titlePg/>
        </w:sectPr>
      </w:pPr>
    </w:p>
    <w:p>
      <w:pPr>
        <w:pStyle w:val="0"/>
        <w:outlineLvl w:val="0"/>
      </w:pPr>
      <w:r>
        <w:rPr>
          <w:sz w:val="24"/>
        </w:rPr>
      </w:r>
    </w:p>
    <w:p>
      <w:pPr>
        <w:pStyle w:val="2"/>
        <w:outlineLvl w:val="0"/>
        <w:jc w:val="center"/>
      </w:pPr>
      <w:r>
        <w:rPr>
          <w:sz w:val="24"/>
        </w:rPr>
        <w:t xml:space="preserve">ПРАВИТЕЛЬСТВО ИВАНОВСКОЙ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 июня 2024 г. N 232-п</w:t>
      </w:r>
    </w:p>
    <w:p>
      <w:pPr>
        <w:pStyle w:val="2"/>
        <w:jc w:val="center"/>
      </w:pPr>
      <w:r>
        <w:rPr>
          <w:sz w:val="24"/>
        </w:rPr>
      </w:r>
    </w:p>
    <w:p>
      <w:pPr>
        <w:pStyle w:val="2"/>
        <w:jc w:val="center"/>
      </w:pPr>
      <w:r>
        <w:rPr>
          <w:sz w:val="24"/>
        </w:rPr>
        <w:t xml:space="preserve">ОБ УТВЕРЖДЕНИИ РЕГИОНАЛЬНОЙ АДРЕСНОЙ ПРОГРАММЫ</w:t>
      </w:r>
    </w:p>
    <w:p>
      <w:pPr>
        <w:pStyle w:val="2"/>
        <w:jc w:val="center"/>
      </w:pPr>
      <w:r>
        <w:rPr>
          <w:sz w:val="24"/>
        </w:rPr>
        <w:t xml:space="preserve">"ПЕРЕСЕЛЕНИЕ ГРАЖДАН ИЗ АВАРИЙНОГО ЖИЛИЩНОГО ФОНДА</w:t>
      </w:r>
    </w:p>
    <w:p>
      <w:pPr>
        <w:pStyle w:val="2"/>
        <w:jc w:val="center"/>
      </w:pPr>
      <w:r>
        <w:rPr>
          <w:sz w:val="24"/>
        </w:rPr>
        <w:t xml:space="preserve">НА ТЕРРИТОРИИ ИВАНОВСКОЙ ОБЛАСТИ НА 2024 - 2030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Ивановской области от 31.01.2025 </w:t>
            </w:r>
            <w:hyperlink w:history="0" r:id="rId8" w:tooltip="Постановление Правительства Ивановской области от 31.01.2025 N 28-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28-п</w:t>
              </w:r>
            </w:hyperlink>
            <w:r>
              <w:rPr>
                <w:sz w:val="24"/>
                <w:color w:val="392c69"/>
              </w:rPr>
              <w:t xml:space="preserve">,</w:t>
            </w:r>
          </w:p>
          <w:p>
            <w:pPr>
              <w:pStyle w:val="0"/>
              <w:jc w:val="center"/>
            </w:pPr>
            <w:r>
              <w:rPr>
                <w:sz w:val="24"/>
                <w:color w:val="392c69"/>
              </w:rPr>
              <w:t xml:space="preserve">от 22.08.2025 </w:t>
            </w:r>
            <w:hyperlink w:history="0" r:id="rId9"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color w:val="392c69"/>
              </w:rPr>
              <w:t xml:space="preserve">, от 05.02.2026 </w:t>
            </w:r>
            <w:hyperlink w:history="0" r:id="rId10"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33-п</w:t>
              </w:r>
            </w:hyperlink>
            <w:r>
              <w:rPr>
                <w:sz w:val="24"/>
                <w:color w:val="392c69"/>
              </w:rPr>
              <w:t xml:space="preserve">, от 22.05.2026 </w:t>
            </w:r>
            <w:hyperlink w:history="0" r:id="rId11"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204-п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Федеральным </w:t>
      </w:r>
      <w:hyperlink w:history="0" r:id="rId12" w:tooltip="Федеральный закон от 21.07.2007 N 185-ФЗ (ред. от 28.12.2025) &quot;О Фонде содействия реформированию жилищно-коммунального хозяйства&quot; {КонсультантПлюс}">
        <w:r>
          <w:rPr>
            <w:sz w:val="24"/>
            <w:color w:val="0000ff"/>
          </w:rPr>
          <w:t xml:space="preserve">законом</w:t>
        </w:r>
      </w:hyperlink>
      <w:r>
        <w:rPr>
          <w:sz w:val="24"/>
        </w:rPr>
        <w:t xml:space="preserve"> от 21.07.2007 N 185-ФЗ "О Фонде содействия реформированию жилищно-коммунального хозяйства", </w:t>
      </w:r>
      <w:hyperlink w:history="0" r:id="rId13" w:tooltip="Постановление Правительства РФ от 20.08.2022 N 1469 (ред. от 12.03.2026) &quot;Об утверждении Правил предоставления финансовой поддержки на переселение граждан из аварийного жилищного фонда&quot; {КонсультантПлюс}">
        <w:r>
          <w:rPr>
            <w:sz w:val="24"/>
            <w:color w:val="0000ff"/>
          </w:rPr>
          <w:t xml:space="preserve">постановлением</w:t>
        </w:r>
      </w:hyperlink>
      <w:r>
        <w:rPr>
          <w:sz w:val="24"/>
        </w:rPr>
        <w:t xml:space="preserve"> Правительства Российской Федерации от 20.08.2022 N 1469 "Об утверждении Правил предоставления финансовой поддержки на переселение граждан из аварийного жилищного фонда", в целях создания безопасных и благоприятных условий проживания граждан Правительство Ивановской области постановляет:</w:t>
      </w:r>
    </w:p>
    <w:p>
      <w:pPr>
        <w:pStyle w:val="0"/>
        <w:jc w:val="both"/>
      </w:pPr>
      <w:r>
        <w:rPr>
          <w:sz w:val="24"/>
        </w:rPr>
        <w:t xml:space="preserve">(в ред. </w:t>
      </w:r>
      <w:hyperlink w:history="0" r:id="rId14"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22.08.2025 N 335-п)</w:t>
      </w:r>
    </w:p>
    <w:p>
      <w:pPr>
        <w:pStyle w:val="0"/>
        <w:ind w:firstLine="540"/>
        <w:jc w:val="both"/>
      </w:pPr>
      <w:r>
        <w:rPr>
          <w:sz w:val="24"/>
        </w:rPr>
      </w:r>
    </w:p>
    <w:p>
      <w:pPr>
        <w:pStyle w:val="0"/>
        <w:ind w:firstLine="540"/>
        <w:jc w:val="both"/>
      </w:pPr>
      <w:r>
        <w:rPr>
          <w:sz w:val="24"/>
        </w:rPr>
        <w:t xml:space="preserve">Утвердить региональную адресную </w:t>
      </w:r>
      <w:hyperlink w:history="0" w:anchor="P31" w:tooltip="РЕГИОНАЛЬНАЯ АДРЕСНАЯ ПРОГРАММА">
        <w:r>
          <w:rPr>
            <w:sz w:val="24"/>
            <w:color w:val="0000ff"/>
          </w:rPr>
          <w:t xml:space="preserve">программу</w:t>
        </w:r>
      </w:hyperlink>
      <w:r>
        <w:rPr>
          <w:sz w:val="24"/>
        </w:rPr>
        <w:t xml:space="preserve"> "Переселение граждан из аварийного жилищного фонда на территории Ивановской области на 2024 - 2030 годы" (прилагается).</w:t>
      </w:r>
    </w:p>
    <w:p>
      <w:pPr>
        <w:pStyle w:val="0"/>
        <w:ind w:firstLine="540"/>
        <w:jc w:val="both"/>
      </w:pPr>
      <w:r>
        <w:rPr>
          <w:sz w:val="24"/>
        </w:rPr>
      </w:r>
    </w:p>
    <w:p>
      <w:pPr>
        <w:pStyle w:val="0"/>
        <w:jc w:val="right"/>
      </w:pPr>
      <w:r>
        <w:rPr>
          <w:sz w:val="24"/>
        </w:rPr>
        <w:t xml:space="preserve">Губернатор Ивановской области</w:t>
      </w:r>
    </w:p>
    <w:p>
      <w:pPr>
        <w:pStyle w:val="0"/>
        <w:jc w:val="right"/>
      </w:pPr>
      <w:r>
        <w:rPr>
          <w:sz w:val="24"/>
        </w:rPr>
        <w:t xml:space="preserve">С.С.ВОСКРЕСЕНСКИЙ</w:t>
      </w:r>
    </w:p>
    <w:p>
      <w:pPr>
        <w:pStyle w:val="0"/>
        <w:ind w:firstLine="540"/>
        <w:jc w:val="both"/>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Правительства</w:t>
      </w:r>
    </w:p>
    <w:p>
      <w:pPr>
        <w:pStyle w:val="0"/>
        <w:jc w:val="right"/>
      </w:pPr>
      <w:r>
        <w:rPr>
          <w:sz w:val="24"/>
        </w:rPr>
        <w:t xml:space="preserve">Ивановской области</w:t>
      </w:r>
    </w:p>
    <w:p>
      <w:pPr>
        <w:pStyle w:val="0"/>
        <w:jc w:val="right"/>
      </w:pPr>
      <w:r>
        <w:rPr>
          <w:sz w:val="24"/>
        </w:rPr>
        <w:t xml:space="preserve">от 03.06.2024 N 232-п</w:t>
      </w:r>
    </w:p>
    <w:p>
      <w:pPr>
        <w:pStyle w:val="0"/>
        <w:jc w:val="center"/>
      </w:pPr>
      <w:r>
        <w:rPr>
          <w:sz w:val="24"/>
        </w:rPr>
      </w:r>
    </w:p>
    <w:bookmarkStart w:id="31" w:name="P31"/>
    <w:bookmarkEnd w:id="31"/>
    <w:p>
      <w:pPr>
        <w:pStyle w:val="2"/>
        <w:jc w:val="center"/>
      </w:pPr>
      <w:r>
        <w:rPr>
          <w:sz w:val="24"/>
        </w:rPr>
        <w:t xml:space="preserve">РЕГИОНАЛЬНАЯ АДРЕСНАЯ ПРОГРАММА</w:t>
      </w:r>
    </w:p>
    <w:p>
      <w:pPr>
        <w:pStyle w:val="2"/>
        <w:jc w:val="center"/>
      </w:pPr>
      <w:r>
        <w:rPr>
          <w:sz w:val="24"/>
        </w:rPr>
        <w:t xml:space="preserve">"ПЕРЕСЕЛЕНИЕ ГРАЖДАН ИЗ АВАРИЙНОГО ЖИЛИЩНОГО ФОНДА</w:t>
      </w:r>
    </w:p>
    <w:p>
      <w:pPr>
        <w:pStyle w:val="2"/>
        <w:jc w:val="center"/>
      </w:pPr>
      <w:r>
        <w:rPr>
          <w:sz w:val="24"/>
        </w:rPr>
        <w:t xml:space="preserve">НА ТЕРРИТОРИИ ИВАНОВСКОЙ ОБЛАСТИ НА 2024 - 2030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Ивановской области от 31.01.2025 </w:t>
            </w:r>
            <w:hyperlink w:history="0" r:id="rId15" w:tooltip="Постановление Правительства Ивановской области от 31.01.2025 N 28-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28-п</w:t>
              </w:r>
            </w:hyperlink>
            <w:r>
              <w:rPr>
                <w:sz w:val="24"/>
                <w:color w:val="392c69"/>
              </w:rPr>
              <w:t xml:space="preserve">,</w:t>
            </w:r>
          </w:p>
          <w:p>
            <w:pPr>
              <w:pStyle w:val="0"/>
              <w:jc w:val="center"/>
            </w:pPr>
            <w:r>
              <w:rPr>
                <w:sz w:val="24"/>
                <w:color w:val="392c69"/>
              </w:rPr>
              <w:t xml:space="preserve">от 22.08.2025 </w:t>
            </w:r>
            <w:hyperlink w:history="0" r:id="rId16"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color w:val="392c69"/>
              </w:rPr>
              <w:t xml:space="preserve">, от 05.02.2026 </w:t>
            </w:r>
            <w:hyperlink w:history="0" r:id="rId17"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33-п</w:t>
              </w:r>
            </w:hyperlink>
            <w:r>
              <w:rPr>
                <w:sz w:val="24"/>
                <w:color w:val="392c69"/>
              </w:rPr>
              <w:t xml:space="preserve">, от 22.05.2026 </w:t>
            </w:r>
            <w:hyperlink w:history="0" r:id="rId18"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204-п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1. Паспорт региональной адресной программы</w:t>
      </w:r>
    </w:p>
    <w:p>
      <w:pPr>
        <w:pStyle w:val="2"/>
        <w:jc w:val="center"/>
      </w:pPr>
      <w:r>
        <w:rPr>
          <w:sz w:val="24"/>
        </w:rPr>
        <w:t xml:space="preserve">"Переселение граждан из аварийного жилищного фонда</w:t>
      </w:r>
    </w:p>
    <w:p>
      <w:pPr>
        <w:pStyle w:val="2"/>
        <w:jc w:val="center"/>
      </w:pPr>
      <w:r>
        <w:rPr>
          <w:sz w:val="24"/>
        </w:rPr>
        <w:t xml:space="preserve">на территории Ивановской области на 2024 - 2030 годы"</w:t>
      </w:r>
    </w:p>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5"/>
        <w:gridCol w:w="6066"/>
      </w:tblGrid>
      <w:tr>
        <w:tc>
          <w:tcPr>
            <w:tcW w:w="3005" w:type="dxa"/>
          </w:tcPr>
          <w:p>
            <w:pPr>
              <w:pStyle w:val="0"/>
              <w:jc w:val="both"/>
            </w:pPr>
            <w:r>
              <w:rPr>
                <w:sz w:val="24"/>
              </w:rPr>
              <w:t xml:space="preserve">Наименование Программы</w:t>
            </w:r>
          </w:p>
        </w:tc>
        <w:tc>
          <w:tcPr>
            <w:tcW w:w="6066" w:type="dxa"/>
          </w:tcPr>
          <w:p>
            <w:pPr>
              <w:pStyle w:val="0"/>
              <w:jc w:val="both"/>
            </w:pPr>
            <w:r>
              <w:rPr>
                <w:sz w:val="24"/>
              </w:rPr>
              <w:t xml:space="preserve">региональная адресная программа "Переселение граждан из аварийного жилищного фонда на территории Ивановской области на 2024 - 2030 годы" (далее - Программа)</w:t>
            </w:r>
          </w:p>
        </w:tc>
      </w:tr>
      <w:tr>
        <w:tblPrEx>
          <w:tblBorders>
            <w:insideH w:val="nil"/>
          </w:tblBorders>
        </w:tblPrEx>
        <w:tc>
          <w:tcPr>
            <w:tcW w:w="3005" w:type="dxa"/>
            <w:tcBorders>
              <w:bottom w:val="nil"/>
            </w:tcBorders>
          </w:tcPr>
          <w:p>
            <w:pPr>
              <w:pStyle w:val="0"/>
              <w:jc w:val="both"/>
            </w:pPr>
            <w:r>
              <w:rPr>
                <w:sz w:val="24"/>
              </w:rPr>
              <w:t xml:space="preserve">Основание для разработки Программы</w:t>
            </w:r>
          </w:p>
        </w:tc>
        <w:tc>
          <w:tcPr>
            <w:tcW w:w="6066" w:type="dxa"/>
            <w:tcBorders>
              <w:bottom w:val="nil"/>
            </w:tcBorders>
          </w:tcPr>
          <w:p>
            <w:pPr>
              <w:pStyle w:val="0"/>
              <w:jc w:val="both"/>
            </w:pPr>
            <w:r>
              <w:rPr>
                <w:sz w:val="24"/>
              </w:rPr>
              <w:t xml:space="preserve">Федеральный </w:t>
            </w:r>
            <w:hyperlink w:history="0" r:id="rId19" w:tooltip="Федеральный закон от 21.07.2007 N 185-ФЗ (ред. от 28.12.2025) &quot;О Фонде содействия реформированию жилищно-коммунального хозяйства&quot; {КонсультантПлюс}">
              <w:r>
                <w:rPr>
                  <w:sz w:val="24"/>
                  <w:color w:val="0000ff"/>
                </w:rPr>
                <w:t xml:space="preserve">закон</w:t>
              </w:r>
            </w:hyperlink>
            <w:r>
              <w:rPr>
                <w:sz w:val="24"/>
              </w:rPr>
              <w:t xml:space="preserve"> от 21.07.2007 N 185-ФЗ "О Фонде содействия реформированию жилищно-коммунального хозяйства" (далее - Федеральный закон N 185-ФЗ), </w:t>
            </w:r>
            <w:hyperlink w:history="0" r:id="rId20" w:tooltip="Постановление Правительства РФ от 20.08.2022 N 1469 (ред. от 12.03.2026) &quot;Об утверждении Правил предоставления финансовой поддержки на переселение граждан из аварийного жилищного фонда&quot; {КонсультантПлюс}">
              <w:r>
                <w:rPr>
                  <w:sz w:val="24"/>
                  <w:color w:val="0000ff"/>
                </w:rPr>
                <w:t xml:space="preserve">постановление</w:t>
              </w:r>
            </w:hyperlink>
            <w:r>
              <w:rPr>
                <w:sz w:val="24"/>
              </w:rPr>
              <w:t xml:space="preserve"> Правительства Российской Федерации от 20.08.2022 N 1469 "Об утверждении Правил предоставления финансовой поддержки на переселение граждан из аварийного жилищного фонда"</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21"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22.08.2025 N 335-п)</w:t>
            </w:r>
          </w:p>
        </w:tc>
      </w:tr>
      <w:tr>
        <w:tc>
          <w:tcPr>
            <w:tcW w:w="3005" w:type="dxa"/>
          </w:tcPr>
          <w:p>
            <w:pPr>
              <w:pStyle w:val="0"/>
              <w:jc w:val="both"/>
            </w:pPr>
            <w:r>
              <w:rPr>
                <w:sz w:val="24"/>
              </w:rPr>
              <w:t xml:space="preserve">Ответственный за реализацию Программы</w:t>
            </w:r>
          </w:p>
        </w:tc>
        <w:tc>
          <w:tcPr>
            <w:tcW w:w="6066" w:type="dxa"/>
          </w:tcPr>
          <w:p>
            <w:pPr>
              <w:pStyle w:val="0"/>
              <w:jc w:val="both"/>
            </w:pPr>
            <w:r>
              <w:rPr>
                <w:sz w:val="24"/>
              </w:rPr>
              <w:t xml:space="preserve">Департамент жилищно-коммунального хозяйства Ивановской области</w:t>
            </w:r>
          </w:p>
        </w:tc>
      </w:tr>
      <w:tr>
        <w:tc>
          <w:tcPr>
            <w:tcW w:w="3005" w:type="dxa"/>
          </w:tcPr>
          <w:p>
            <w:pPr>
              <w:pStyle w:val="0"/>
              <w:jc w:val="both"/>
            </w:pPr>
            <w:r>
              <w:rPr>
                <w:sz w:val="24"/>
              </w:rPr>
              <w:t xml:space="preserve">Разработчик Программы</w:t>
            </w:r>
          </w:p>
        </w:tc>
        <w:tc>
          <w:tcPr>
            <w:tcW w:w="6066" w:type="dxa"/>
          </w:tcPr>
          <w:p>
            <w:pPr>
              <w:pStyle w:val="0"/>
              <w:jc w:val="both"/>
            </w:pPr>
            <w:r>
              <w:rPr>
                <w:sz w:val="24"/>
              </w:rPr>
              <w:t xml:space="preserve">Департамент жилищно-коммунального хозяйства Ивановской области</w:t>
            </w:r>
          </w:p>
        </w:tc>
      </w:tr>
      <w:tr>
        <w:tc>
          <w:tcPr>
            <w:tcW w:w="3005" w:type="dxa"/>
          </w:tcPr>
          <w:p>
            <w:pPr>
              <w:pStyle w:val="0"/>
              <w:jc w:val="both"/>
            </w:pPr>
            <w:r>
              <w:rPr>
                <w:sz w:val="24"/>
              </w:rPr>
              <w:t xml:space="preserve">Главный распорядитель бюджетных средств</w:t>
            </w:r>
          </w:p>
        </w:tc>
        <w:tc>
          <w:tcPr>
            <w:tcW w:w="6066" w:type="dxa"/>
          </w:tcPr>
          <w:p>
            <w:pPr>
              <w:pStyle w:val="0"/>
              <w:jc w:val="both"/>
            </w:pPr>
            <w:r>
              <w:rPr>
                <w:sz w:val="24"/>
              </w:rPr>
              <w:t xml:space="preserve">Департамент жилищно-коммунального хозяйства Ивановской области</w:t>
            </w:r>
          </w:p>
        </w:tc>
      </w:tr>
      <w:tr>
        <w:tc>
          <w:tcPr>
            <w:tcW w:w="3005" w:type="dxa"/>
          </w:tcPr>
          <w:p>
            <w:pPr>
              <w:pStyle w:val="0"/>
              <w:jc w:val="both"/>
            </w:pPr>
            <w:r>
              <w:rPr>
                <w:sz w:val="24"/>
              </w:rPr>
              <w:t xml:space="preserve">Исполнители Программы</w:t>
            </w:r>
          </w:p>
        </w:tc>
        <w:tc>
          <w:tcPr>
            <w:tcW w:w="6066" w:type="dxa"/>
          </w:tcPr>
          <w:p>
            <w:pPr>
              <w:pStyle w:val="0"/>
              <w:jc w:val="both"/>
            </w:pPr>
            <w:r>
              <w:rPr>
                <w:sz w:val="24"/>
              </w:rPr>
              <w:t xml:space="preserve">органы местного самоуправления муниципальных образований Ивановской области - участники Программы</w:t>
            </w:r>
          </w:p>
        </w:tc>
      </w:tr>
      <w:tr>
        <w:tblPrEx>
          <w:tblBorders>
            <w:insideH w:val="nil"/>
          </w:tblBorders>
        </w:tblPrEx>
        <w:tc>
          <w:tcPr>
            <w:tcW w:w="3005" w:type="dxa"/>
            <w:tcBorders>
              <w:bottom w:val="nil"/>
            </w:tcBorders>
          </w:tcPr>
          <w:p>
            <w:pPr>
              <w:pStyle w:val="0"/>
              <w:jc w:val="both"/>
            </w:pPr>
            <w:r>
              <w:rPr>
                <w:sz w:val="24"/>
              </w:rPr>
              <w:t xml:space="preserve">Цели Программы</w:t>
            </w:r>
          </w:p>
        </w:tc>
        <w:tc>
          <w:tcPr>
            <w:tcW w:w="6066" w:type="dxa"/>
            <w:tcBorders>
              <w:bottom w:val="nil"/>
            </w:tcBorders>
          </w:tcPr>
          <w:p>
            <w:pPr>
              <w:pStyle w:val="0"/>
              <w:jc w:val="both"/>
            </w:pPr>
            <w:r>
              <w:rPr>
                <w:sz w:val="24"/>
              </w:rPr>
              <w:t xml:space="preserve">создание безопасных и благоприятных условий проживания граждан;</w:t>
            </w:r>
          </w:p>
          <w:p>
            <w:pPr>
              <w:pStyle w:val="0"/>
              <w:jc w:val="both"/>
            </w:pPr>
            <w:r>
              <w:rPr>
                <w:sz w:val="24"/>
              </w:rPr>
              <w:t xml:space="preserve">обеспечение устойчивого сокращения непригодного для проживания жилищного фонда путем расселения многоквартирных домов, признанных после 01.01.2017 в порядке, установленном законодательством Российской Федерации, аварийными и подлежащими сносу или реконструкции в связи с физическим износом в процессе их эксплуатации;</w:t>
            </w:r>
          </w:p>
          <w:p>
            <w:pPr>
              <w:pStyle w:val="0"/>
              <w:jc w:val="both"/>
            </w:pPr>
            <w:r>
              <w:rPr>
                <w:sz w:val="24"/>
              </w:rPr>
              <w:t xml:space="preserve">минимизация издержек по содержанию аварийных домов и сокращение сроков включения освобождающихся земельных участков в хозяйственный оборот</w:t>
            </w:r>
          </w:p>
        </w:tc>
      </w:tr>
      <w:tr>
        <w:tblPrEx>
          <w:tblBorders>
            <w:insideH w:val="nil"/>
          </w:tblBorders>
        </w:tblPrEx>
        <w:tc>
          <w:tcPr>
            <w:gridSpan w:val="2"/>
            <w:tcW w:w="9071" w:type="dxa"/>
            <w:tcBorders>
              <w:top w:val="nil"/>
            </w:tcBorders>
          </w:tcPr>
          <w:p>
            <w:pPr>
              <w:pStyle w:val="0"/>
              <w:jc w:val="both"/>
            </w:pPr>
            <w:r>
              <w:rPr>
                <w:sz w:val="24"/>
              </w:rPr>
              <w:t xml:space="preserve">(в ред. Постановлений Правительства Ивановской области от 22.08.2025 </w:t>
            </w:r>
            <w:hyperlink w:history="0" r:id="rId22"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rPr>
              <w:t xml:space="preserve">, от 05.02.2026 </w:t>
            </w:r>
            <w:hyperlink w:history="0" r:id="rId23"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33-п</w:t>
              </w:r>
            </w:hyperlink>
            <w:r>
              <w:rPr>
                <w:sz w:val="24"/>
              </w:rPr>
              <w:t xml:space="preserve">)</w:t>
            </w:r>
          </w:p>
        </w:tc>
      </w:tr>
      <w:tr>
        <w:tblPrEx>
          <w:tblBorders>
            <w:insideH w:val="nil"/>
          </w:tblBorders>
        </w:tblPrEx>
        <w:tc>
          <w:tcPr>
            <w:tcW w:w="3005" w:type="dxa"/>
            <w:tcBorders>
              <w:bottom w:val="nil"/>
            </w:tcBorders>
          </w:tcPr>
          <w:p>
            <w:pPr>
              <w:pStyle w:val="0"/>
              <w:jc w:val="both"/>
            </w:pPr>
            <w:r>
              <w:rPr>
                <w:sz w:val="24"/>
              </w:rPr>
              <w:t xml:space="preserve">Задачи Программы</w:t>
            </w:r>
          </w:p>
        </w:tc>
        <w:tc>
          <w:tcPr>
            <w:tcW w:w="6066" w:type="dxa"/>
            <w:tcBorders>
              <w:bottom w:val="nil"/>
            </w:tcBorders>
          </w:tcPr>
          <w:p>
            <w:pPr>
              <w:pStyle w:val="0"/>
              <w:jc w:val="both"/>
            </w:pPr>
            <w:r>
              <w:rPr>
                <w:sz w:val="24"/>
              </w:rPr>
              <w:t xml:space="preserve">переселение граждан из многоквартирных домов, признанных после 01.01.2017 в порядке, установленном законодательством Российской Федерации, аварийными и подлежащими сносу или реконструкции в связи с физическим износом в процессе их эксплуатации;</w:t>
            </w:r>
          </w:p>
          <w:p>
            <w:pPr>
              <w:pStyle w:val="0"/>
              <w:jc w:val="both"/>
            </w:pPr>
            <w:r>
              <w:rPr>
                <w:sz w:val="24"/>
              </w:rPr>
              <w:t xml:space="preserve">поэтапная ликвидация аварийного жилищного фонда;</w:t>
            </w:r>
          </w:p>
          <w:p>
            <w:pPr>
              <w:pStyle w:val="0"/>
              <w:jc w:val="both"/>
            </w:pPr>
            <w:r>
              <w:rPr>
                <w:sz w:val="24"/>
              </w:rPr>
              <w:t xml:space="preserve">обеспечение выполнения мероприятий Программы в установленные сроки;</w:t>
            </w:r>
          </w:p>
          <w:p>
            <w:pPr>
              <w:pStyle w:val="0"/>
              <w:jc w:val="both"/>
            </w:pPr>
            <w:r>
              <w:rPr>
                <w:sz w:val="24"/>
              </w:rPr>
              <w:t xml:space="preserve">непрерывное планирование, заблаговременное проведение мероприятий, направленных на информирование граждан и согласование с ними способов и иных условий переселения из аварийного жилищного фонда</w:t>
            </w:r>
          </w:p>
        </w:tc>
      </w:tr>
      <w:tr>
        <w:tblPrEx>
          <w:tblBorders>
            <w:insideH w:val="nil"/>
          </w:tblBorders>
        </w:tblPrEx>
        <w:tc>
          <w:tcPr>
            <w:gridSpan w:val="2"/>
            <w:tcW w:w="9071" w:type="dxa"/>
            <w:tcBorders>
              <w:top w:val="nil"/>
            </w:tcBorders>
          </w:tcPr>
          <w:p>
            <w:pPr>
              <w:pStyle w:val="0"/>
              <w:jc w:val="both"/>
            </w:pPr>
            <w:r>
              <w:rPr>
                <w:sz w:val="24"/>
              </w:rPr>
              <w:t xml:space="preserve">(в ред. Постановлений Правительства Ивановской области от 22.08.2025 </w:t>
            </w:r>
            <w:hyperlink w:history="0" r:id="rId24"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rPr>
              <w:t xml:space="preserve">, от 05.02.2026 </w:t>
            </w:r>
            <w:hyperlink w:history="0" r:id="rId25"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33-п</w:t>
              </w:r>
            </w:hyperlink>
            <w:r>
              <w:rPr>
                <w:sz w:val="24"/>
              </w:rPr>
              <w:t xml:space="preserve">)</w:t>
            </w:r>
          </w:p>
        </w:tc>
      </w:tr>
      <w:tr>
        <w:tc>
          <w:tcPr>
            <w:tcW w:w="3005" w:type="dxa"/>
          </w:tcPr>
          <w:p>
            <w:pPr>
              <w:pStyle w:val="0"/>
              <w:jc w:val="both"/>
            </w:pPr>
            <w:r>
              <w:rPr>
                <w:sz w:val="24"/>
              </w:rPr>
              <w:t xml:space="preserve">Срок реализации Программы</w:t>
            </w:r>
          </w:p>
        </w:tc>
        <w:tc>
          <w:tcPr>
            <w:tcW w:w="6066" w:type="dxa"/>
          </w:tcPr>
          <w:p>
            <w:pPr>
              <w:pStyle w:val="0"/>
              <w:jc w:val="both"/>
            </w:pPr>
            <w:r>
              <w:rPr>
                <w:sz w:val="24"/>
              </w:rPr>
              <w:t xml:space="preserve">2024 - 2030 годы</w:t>
            </w:r>
          </w:p>
        </w:tc>
      </w:tr>
      <w:tr>
        <w:tblPrEx>
          <w:tblBorders>
            <w:insideH w:val="nil"/>
          </w:tblBorders>
        </w:tblPrEx>
        <w:tc>
          <w:tcPr>
            <w:tcW w:w="3005" w:type="dxa"/>
            <w:tcBorders>
              <w:bottom w:val="nil"/>
            </w:tcBorders>
          </w:tcPr>
          <w:p>
            <w:pPr>
              <w:pStyle w:val="0"/>
              <w:jc w:val="both"/>
            </w:pPr>
            <w:r>
              <w:rPr>
                <w:sz w:val="24"/>
              </w:rPr>
              <w:t xml:space="preserve">Этапы реализации Программы</w:t>
            </w:r>
          </w:p>
        </w:tc>
        <w:tc>
          <w:tcPr>
            <w:tcW w:w="6066" w:type="dxa"/>
            <w:tcBorders>
              <w:bottom w:val="nil"/>
            </w:tcBorders>
          </w:tcPr>
          <w:p>
            <w:pPr>
              <w:pStyle w:val="0"/>
              <w:jc w:val="both"/>
            </w:pPr>
            <w:r>
              <w:rPr>
                <w:sz w:val="24"/>
              </w:rPr>
              <w:t xml:space="preserve">этап 2024 года - срок реализации до 31 декабря 2024 года;</w:t>
            </w:r>
          </w:p>
          <w:p>
            <w:pPr>
              <w:pStyle w:val="0"/>
              <w:jc w:val="both"/>
            </w:pPr>
            <w:r>
              <w:rPr>
                <w:sz w:val="24"/>
              </w:rPr>
              <w:t xml:space="preserve">этап 2025 года - срок реализации до 31 декабря 2025 года;</w:t>
            </w:r>
          </w:p>
          <w:p>
            <w:pPr>
              <w:pStyle w:val="0"/>
              <w:jc w:val="both"/>
            </w:pPr>
            <w:r>
              <w:rPr>
                <w:sz w:val="24"/>
              </w:rPr>
              <w:t xml:space="preserve">этап 2026 года - срок реализации до 31 декабря 2027 года;</w:t>
            </w:r>
          </w:p>
          <w:p>
            <w:pPr>
              <w:pStyle w:val="0"/>
              <w:jc w:val="both"/>
            </w:pPr>
            <w:r>
              <w:rPr>
                <w:sz w:val="24"/>
              </w:rPr>
              <w:t xml:space="preserve">этап 2027 года - срок реализации до 31 декабря 2028 года;</w:t>
            </w:r>
          </w:p>
          <w:p>
            <w:pPr>
              <w:pStyle w:val="0"/>
              <w:jc w:val="both"/>
            </w:pPr>
            <w:r>
              <w:rPr>
                <w:sz w:val="24"/>
              </w:rPr>
              <w:t xml:space="preserve">этап 2028 года - срок реализации до 31 декабря 2029 года;</w:t>
            </w:r>
          </w:p>
          <w:p>
            <w:pPr>
              <w:pStyle w:val="0"/>
              <w:jc w:val="both"/>
            </w:pPr>
            <w:r>
              <w:rPr>
                <w:sz w:val="24"/>
              </w:rPr>
              <w:t xml:space="preserve">этап 2029 года - срок реализации до 31 декабря 2030 года;</w:t>
            </w:r>
          </w:p>
          <w:p>
            <w:pPr>
              <w:pStyle w:val="0"/>
              <w:jc w:val="both"/>
            </w:pPr>
            <w:r>
              <w:rPr>
                <w:sz w:val="24"/>
              </w:rPr>
              <w:t xml:space="preserve">этап 2030 года - срок реализации до 31 декабря 2031 года</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26"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22.08.2025 N 335-п)</w:t>
            </w:r>
          </w:p>
        </w:tc>
      </w:tr>
      <w:tr>
        <w:tblPrEx>
          <w:tblBorders>
            <w:insideH w:val="nil"/>
          </w:tblBorders>
        </w:tblPrEx>
        <w:tc>
          <w:tcPr>
            <w:tcW w:w="3005" w:type="dxa"/>
            <w:tcBorders>
              <w:bottom w:val="nil"/>
            </w:tcBorders>
          </w:tcPr>
          <w:p>
            <w:pPr>
              <w:pStyle w:val="0"/>
              <w:jc w:val="both"/>
            </w:pPr>
            <w:r>
              <w:rPr>
                <w:sz w:val="24"/>
              </w:rPr>
              <w:t xml:space="preserve">Объемы и источники финансирования Программы</w:t>
            </w:r>
          </w:p>
        </w:tc>
        <w:tc>
          <w:tcPr>
            <w:tcW w:w="6066" w:type="dxa"/>
            <w:tcBorders>
              <w:bottom w:val="nil"/>
            </w:tcBorders>
          </w:tcPr>
          <w:p>
            <w:pPr>
              <w:pStyle w:val="0"/>
              <w:jc w:val="both"/>
            </w:pPr>
            <w:r>
              <w:rPr>
                <w:sz w:val="24"/>
              </w:rPr>
              <w:t xml:space="preserve">на реализацию Программы предусмотрено 692686971,40 руб., в том числе:</w:t>
            </w:r>
          </w:p>
          <w:p>
            <w:pPr>
              <w:pStyle w:val="0"/>
              <w:jc w:val="both"/>
            </w:pPr>
            <w:r>
              <w:rPr>
                <w:sz w:val="24"/>
              </w:rPr>
              <w:t xml:space="preserve">средства публично-правовой компании "Фонд развития территорий" (далее - Фонд) - 355864018,28 руб.;</w:t>
            </w:r>
          </w:p>
          <w:p>
            <w:pPr>
              <w:pStyle w:val="0"/>
              <w:jc w:val="both"/>
            </w:pPr>
            <w:r>
              <w:rPr>
                <w:sz w:val="24"/>
              </w:rPr>
              <w:t xml:space="preserve">средства областного бюджета - 217988527,89 руб.;</w:t>
            </w:r>
          </w:p>
          <w:p>
            <w:pPr>
              <w:pStyle w:val="0"/>
              <w:jc w:val="both"/>
            </w:pPr>
            <w:r>
              <w:rPr>
                <w:sz w:val="24"/>
              </w:rPr>
              <w:t xml:space="preserve">средства местных бюджетов - 118834425,23 руб.;</w:t>
            </w:r>
          </w:p>
          <w:p>
            <w:pPr>
              <w:pStyle w:val="0"/>
              <w:jc w:val="both"/>
            </w:pPr>
            <w:r>
              <w:rPr>
                <w:sz w:val="24"/>
              </w:rPr>
              <w:t xml:space="preserve">этап 2024 года:</w:t>
            </w:r>
          </w:p>
          <w:p>
            <w:pPr>
              <w:pStyle w:val="0"/>
              <w:jc w:val="both"/>
            </w:pPr>
            <w:r>
              <w:rPr>
                <w:sz w:val="24"/>
              </w:rPr>
              <w:t xml:space="preserve">средства Фонда - 53623170,40 руб.,</w:t>
            </w:r>
          </w:p>
          <w:p>
            <w:pPr>
              <w:pStyle w:val="0"/>
              <w:jc w:val="both"/>
            </w:pPr>
            <w:r>
              <w:rPr>
                <w:sz w:val="24"/>
              </w:rPr>
              <w:t xml:space="preserve">средства областного бюджета - 541648,21 руб.,</w:t>
            </w:r>
          </w:p>
          <w:p>
            <w:pPr>
              <w:pStyle w:val="0"/>
              <w:jc w:val="both"/>
            </w:pPr>
            <w:r>
              <w:rPr>
                <w:sz w:val="24"/>
              </w:rPr>
              <w:t xml:space="preserve">средства местных бюджетов, в том числе на дополнительное финансирование, - 2345158,59 руб.;</w:t>
            </w:r>
          </w:p>
          <w:p>
            <w:pPr>
              <w:pStyle w:val="0"/>
              <w:jc w:val="both"/>
            </w:pPr>
            <w:r>
              <w:rPr>
                <w:sz w:val="24"/>
              </w:rPr>
              <w:t xml:space="preserve">этап 2025 года:</w:t>
            </w:r>
          </w:p>
          <w:p>
            <w:pPr>
              <w:pStyle w:val="0"/>
              <w:jc w:val="both"/>
            </w:pPr>
            <w:r>
              <w:rPr>
                <w:sz w:val="24"/>
              </w:rPr>
              <w:t xml:space="preserve">средства Фонда - 132548395,32 руб.,</w:t>
            </w:r>
          </w:p>
          <w:p>
            <w:pPr>
              <w:pStyle w:val="0"/>
              <w:jc w:val="both"/>
            </w:pPr>
            <w:r>
              <w:rPr>
                <w:sz w:val="24"/>
              </w:rPr>
              <w:t xml:space="preserve">средства областного бюджета - 97252199,46 руб.,</w:t>
            </w:r>
          </w:p>
          <w:p>
            <w:pPr>
              <w:pStyle w:val="0"/>
              <w:jc w:val="both"/>
            </w:pPr>
            <w:r>
              <w:rPr>
                <w:sz w:val="24"/>
              </w:rPr>
              <w:t xml:space="preserve">средства местных бюджетов, в том числе на дополнительное финансирование, - 46275186,84 руб.;</w:t>
            </w:r>
          </w:p>
          <w:p>
            <w:pPr>
              <w:pStyle w:val="0"/>
              <w:jc w:val="both"/>
            </w:pPr>
            <w:r>
              <w:rPr>
                <w:sz w:val="24"/>
              </w:rPr>
              <w:t xml:space="preserve">этап 2026 года:</w:t>
            </w:r>
          </w:p>
          <w:p>
            <w:pPr>
              <w:pStyle w:val="0"/>
              <w:jc w:val="both"/>
            </w:pPr>
            <w:r>
              <w:rPr>
                <w:sz w:val="24"/>
              </w:rPr>
              <w:t xml:space="preserve">средства Фонда - 169692452,56 руб.,</w:t>
            </w:r>
          </w:p>
          <w:p>
            <w:pPr>
              <w:pStyle w:val="0"/>
              <w:jc w:val="both"/>
            </w:pPr>
            <w:r>
              <w:rPr>
                <w:sz w:val="24"/>
              </w:rPr>
              <w:t xml:space="preserve">средства областного бюджета - 120194680,22 руб.,</w:t>
            </w:r>
          </w:p>
          <w:p>
            <w:pPr>
              <w:pStyle w:val="0"/>
              <w:jc w:val="both"/>
            </w:pPr>
            <w:r>
              <w:rPr>
                <w:sz w:val="24"/>
              </w:rPr>
              <w:t xml:space="preserve">средства местных бюджетов, в том числе на дополнительное финансирование, - 70214079,80 руб.;</w:t>
            </w:r>
          </w:p>
          <w:p>
            <w:pPr>
              <w:pStyle w:val="0"/>
              <w:jc w:val="both"/>
            </w:pPr>
            <w:r>
              <w:rPr>
                <w:sz w:val="24"/>
              </w:rPr>
              <w:t xml:space="preserve">этапы 2027 и 2028 годов &lt;*&gt;;</w:t>
            </w:r>
          </w:p>
          <w:p>
            <w:pPr>
              <w:pStyle w:val="0"/>
              <w:jc w:val="both"/>
            </w:pPr>
            <w:r>
              <w:rPr>
                <w:sz w:val="24"/>
              </w:rPr>
              <w:t xml:space="preserve">этапы 2029 и 2030 годов &lt;**&gt;</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27"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22.05.2026 N 204-п)</w:t>
            </w:r>
          </w:p>
        </w:tc>
      </w:tr>
      <w:tr>
        <w:tblPrEx>
          <w:tblBorders>
            <w:insideH w:val="nil"/>
          </w:tblBorders>
        </w:tblPrEx>
        <w:tc>
          <w:tcPr>
            <w:tcW w:w="3005" w:type="dxa"/>
            <w:tcBorders>
              <w:bottom w:val="nil"/>
            </w:tcBorders>
          </w:tcPr>
          <w:p>
            <w:pPr>
              <w:pStyle w:val="0"/>
              <w:jc w:val="both"/>
            </w:pPr>
            <w:r>
              <w:rPr>
                <w:sz w:val="24"/>
              </w:rPr>
              <w:t xml:space="preserve">Ожидаемые конечные результаты реализации Программы</w:t>
            </w:r>
          </w:p>
        </w:tc>
        <w:tc>
          <w:tcPr>
            <w:tcW w:w="6066" w:type="dxa"/>
            <w:tcBorders>
              <w:bottom w:val="nil"/>
            </w:tcBorders>
          </w:tcPr>
          <w:p>
            <w:pPr>
              <w:pStyle w:val="0"/>
              <w:jc w:val="both"/>
            </w:pPr>
            <w:r>
              <w:rPr>
                <w:sz w:val="24"/>
              </w:rPr>
              <w:t xml:space="preserve">переселение 586 человек из 32 многоквартирных домов, признанных после 01.01.2017 в порядке, установленном законодательством Российской Федерации, аварийными и подлежащими сносу в связи с физическим износом в процессе их эксплуатации, общей площадью расселяемых жилых помещений 9836,76 кв. м</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28"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22.05.2026 N 204-п)</w:t>
            </w:r>
          </w:p>
        </w:tc>
      </w:tr>
    </w:tbl>
    <w:p>
      <w:pPr>
        <w:pStyle w:val="0"/>
        <w:ind w:firstLine="54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Объемы финансирования по этапам 2027 и 2028 годов будут рассчитаны после определения участников этапов 2027 и 2028 годов Программы;</w:t>
      </w:r>
    </w:p>
    <w:p>
      <w:pPr>
        <w:pStyle w:val="0"/>
        <w:jc w:val="both"/>
      </w:pPr>
      <w:r>
        <w:rPr>
          <w:sz w:val="24"/>
        </w:rPr>
        <w:t xml:space="preserve">(в ред. Постановлений Правительства Ивановской области от 22.08.2025 </w:t>
      </w:r>
      <w:hyperlink w:history="0" r:id="rId29"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rPr>
        <w:t xml:space="preserve">, от 22.05.2026 </w:t>
      </w:r>
      <w:hyperlink w:history="0" r:id="rId30"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204-п</w:t>
        </w:r>
      </w:hyperlink>
      <w:r>
        <w:rPr>
          <w:sz w:val="24"/>
        </w:rPr>
        <w:t xml:space="preserve">)</w:t>
      </w:r>
    </w:p>
    <w:p>
      <w:pPr>
        <w:pStyle w:val="0"/>
        <w:spacing w:before="240" w:lineRule="auto"/>
        <w:ind w:firstLine="540"/>
        <w:jc w:val="both"/>
      </w:pPr>
      <w:r>
        <w:rPr>
          <w:sz w:val="24"/>
        </w:rPr>
        <w:t xml:space="preserve">&lt;**&gt; Финансирование для реализации этапов 2029 и 2030 годов будет предусмотрено после доведения до Ивановской области лимитов предоставления финансовой поддержки за счет средств Фонда.</w:t>
      </w:r>
    </w:p>
    <w:p>
      <w:pPr>
        <w:pStyle w:val="0"/>
        <w:jc w:val="both"/>
      </w:pPr>
      <w:r>
        <w:rPr>
          <w:sz w:val="24"/>
        </w:rPr>
        <w:t xml:space="preserve">(в ред. Постановлений Правительства Ивановской области от 22.08.2025 </w:t>
      </w:r>
      <w:hyperlink w:history="0" r:id="rId31"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rPr>
        <w:t xml:space="preserve">, от 22.05.2026 </w:t>
      </w:r>
      <w:hyperlink w:history="0" r:id="rId32"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204-п</w:t>
        </w:r>
      </w:hyperlink>
      <w:r>
        <w:rPr>
          <w:sz w:val="24"/>
        </w:rPr>
        <w:t xml:space="preserve">)</w:t>
      </w:r>
    </w:p>
    <w:p>
      <w:pPr>
        <w:pStyle w:val="0"/>
        <w:ind w:firstLine="540"/>
        <w:jc w:val="both"/>
      </w:pPr>
      <w:r>
        <w:rPr>
          <w:sz w:val="24"/>
        </w:rPr>
      </w:r>
    </w:p>
    <w:p>
      <w:pPr>
        <w:pStyle w:val="2"/>
        <w:outlineLvl w:val="1"/>
        <w:jc w:val="center"/>
      </w:pPr>
      <w:r>
        <w:rPr>
          <w:sz w:val="24"/>
        </w:rPr>
        <w:t xml:space="preserve">2. Характеристика текущего состояния жилищного фонда</w:t>
      </w:r>
    </w:p>
    <w:p>
      <w:pPr>
        <w:pStyle w:val="2"/>
        <w:jc w:val="center"/>
      </w:pPr>
      <w:r>
        <w:rPr>
          <w:sz w:val="24"/>
        </w:rPr>
        <w:t xml:space="preserve">на территории Ивановской области</w:t>
      </w:r>
    </w:p>
    <w:p>
      <w:pPr>
        <w:pStyle w:val="0"/>
        <w:jc w:val="center"/>
      </w:pPr>
      <w:r>
        <w:rPr>
          <w:sz w:val="24"/>
        </w:rPr>
      </w:r>
    </w:p>
    <w:p>
      <w:pPr>
        <w:pStyle w:val="0"/>
        <w:ind w:firstLine="540"/>
        <w:jc w:val="both"/>
      </w:pPr>
      <w:r>
        <w:rPr>
          <w:sz w:val="24"/>
        </w:rPr>
        <w:t xml:space="preserve">Жилищные условия, качество услуг жилищно-коммунального хозяйства являются важными факторами, определяющими уровень жизни населения. Значительная часть жилищного фонда, расположенного на территории Ивановской области, не удовлетворяет на сегодняшний день потребности населения Ивановской области, поскольку не отвечает установленным санитарным и техническим требованиям.</w:t>
      </w:r>
    </w:p>
    <w:p>
      <w:pPr>
        <w:pStyle w:val="0"/>
        <w:spacing w:before="240" w:lineRule="auto"/>
        <w:ind w:firstLine="540"/>
        <w:jc w:val="both"/>
      </w:pPr>
      <w:r>
        <w:rPr>
          <w:sz w:val="24"/>
        </w:rPr>
        <w:t xml:space="preserve">Ввиду несоответствия требованиям, предъявляемым к жилым помещениям, аварийное жилье не только не обеспечивает комфортное проживание граждан, но и создает угрозу для жизни и здоровья проживающих в нем людей. Владельцы аварийного жилья не могут в полной мере реализовать свои права на управление жилищным фондом, предусмотренные законодательством Российской Федерации, получать полный набор жилищно-коммунальных услуг надлежащего качества. Аварийные дома ухудшают внешний облик городов и поселков, сдерживают развитие инфраструктуры, что снижает инвестиционную привлекательность территорий.</w:t>
      </w:r>
    </w:p>
    <w:p>
      <w:pPr>
        <w:pStyle w:val="0"/>
        <w:spacing w:before="240" w:lineRule="auto"/>
        <w:ind w:firstLine="540"/>
        <w:jc w:val="both"/>
      </w:pPr>
      <w:r>
        <w:rPr>
          <w:sz w:val="24"/>
        </w:rPr>
        <w:t xml:space="preserve">На территории Ивановской области после 01.01.2017 признаны в порядке, установленном законодательством Российской Федерации, аварийными и подлежащими сносу или реконструкции в связи с физическим износом в процессе эксплуатации 147518,06 кв. м жилищного фонда.</w:t>
      </w:r>
    </w:p>
    <w:p>
      <w:pPr>
        <w:pStyle w:val="0"/>
        <w:jc w:val="both"/>
      </w:pPr>
      <w:r>
        <w:rPr>
          <w:sz w:val="24"/>
        </w:rPr>
        <w:t xml:space="preserve">(в ред. Постановлений Правительства Ивановской области от 31.01.2025 </w:t>
      </w:r>
      <w:hyperlink w:history="0" r:id="rId33" w:tooltip="Постановление Правительства Ивановской области от 31.01.2025 N 28-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28-п</w:t>
        </w:r>
      </w:hyperlink>
      <w:r>
        <w:rPr>
          <w:sz w:val="24"/>
        </w:rPr>
        <w:t xml:space="preserve">, от 22.08.2025 </w:t>
      </w:r>
      <w:hyperlink w:history="0" r:id="rId34"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rPr>
        <w:t xml:space="preserve">, от 05.02.2026 </w:t>
      </w:r>
      <w:hyperlink w:history="0" r:id="rId35"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33-п</w:t>
        </w:r>
      </w:hyperlink>
      <w:r>
        <w:rPr>
          <w:sz w:val="24"/>
        </w:rPr>
        <w:t xml:space="preserve">, от 22.05.2026 </w:t>
      </w:r>
      <w:hyperlink w:history="0" r:id="rId36"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204-п</w:t>
        </w:r>
      </w:hyperlink>
      <w:r>
        <w:rPr>
          <w:sz w:val="24"/>
        </w:rPr>
        <w:t xml:space="preserve">)</w:t>
      </w:r>
    </w:p>
    <w:p>
      <w:pPr>
        <w:pStyle w:val="0"/>
        <w:spacing w:before="240" w:lineRule="auto"/>
        <w:ind w:firstLine="540"/>
        <w:jc w:val="both"/>
      </w:pPr>
      <w:r>
        <w:rPr>
          <w:sz w:val="24"/>
        </w:rPr>
        <w:t xml:space="preserve">Переселение граждан из аварийного жилищного фонда является одной из самых острых социальных проблем, решение которой сдерживается ввиду ограниченности бюджетных средств муниципальных образований Ивановской области. Граждане, проживающие в аварийном жилищном фонде, в подавляющем большинстве не в состоянии приобрести жилые помещения, отвечающие предъявляемым к ним требованиям. Поэтому решение этой проблемы требует консолидации финансовых ресурсов федерального и регионального уровней.</w:t>
      </w:r>
    </w:p>
    <w:p>
      <w:pPr>
        <w:pStyle w:val="0"/>
        <w:jc w:val="center"/>
      </w:pPr>
      <w:r>
        <w:rPr>
          <w:sz w:val="24"/>
        </w:rPr>
      </w:r>
    </w:p>
    <w:p>
      <w:pPr>
        <w:pStyle w:val="2"/>
        <w:outlineLvl w:val="1"/>
        <w:jc w:val="center"/>
      </w:pPr>
      <w:r>
        <w:rPr>
          <w:sz w:val="24"/>
        </w:rPr>
        <w:t xml:space="preserve">3. Меры, принимаемые для обеспечения полноты</w:t>
      </w:r>
    </w:p>
    <w:p>
      <w:pPr>
        <w:pStyle w:val="2"/>
        <w:jc w:val="center"/>
      </w:pPr>
      <w:r>
        <w:rPr>
          <w:sz w:val="24"/>
        </w:rPr>
        <w:t xml:space="preserve">и достоверности сведений об аварийном жилищном фонде</w:t>
      </w:r>
    </w:p>
    <w:p>
      <w:pPr>
        <w:pStyle w:val="0"/>
        <w:jc w:val="center"/>
      </w:pPr>
      <w:r>
        <w:rPr>
          <w:sz w:val="24"/>
        </w:rPr>
      </w:r>
    </w:p>
    <w:p>
      <w:pPr>
        <w:pStyle w:val="0"/>
        <w:ind w:firstLine="540"/>
        <w:jc w:val="both"/>
      </w:pPr>
      <w:r>
        <w:rPr>
          <w:sz w:val="24"/>
        </w:rPr>
        <w:t xml:space="preserve">В рамках исполнения </w:t>
      </w:r>
      <w:hyperlink w:history="0" r:id="rId37" w:tooltip="Приказ Минстроя России от 30.07.2015 N 536/пр &quot;Об утверждении Методических рекомендаций по порядку формирования и ведения реестров многоквартирных домов и жилых домов, признанных аварийными&quot; {КонсультантПлюс}">
        <w:r>
          <w:rPr>
            <w:sz w:val="24"/>
            <w:color w:val="0000ff"/>
          </w:rPr>
          <w:t xml:space="preserve">приказа</w:t>
        </w:r>
      </w:hyperlink>
      <w:r>
        <w:rPr>
          <w:sz w:val="24"/>
        </w:rPr>
        <w:t xml:space="preserve"> Министерства строительства и жилищно-коммунального хозяйства Российской Федерации от 30.07.2015 N 536/пр "Об утверждении Методических рекомендаций по порядку формирования и ведения реестров многоквартирных домов и жилых домов, признанных аварийными" органы местного самоуправления муниципальных образований Ивановской области обеспечивают формирование и ведение в автоматизированной информационной системе Фонда (далее - АИС Фонда) реестра многоквартирных домов, признанных аварийными.</w:t>
      </w:r>
    </w:p>
    <w:p>
      <w:pPr>
        <w:pStyle w:val="0"/>
        <w:spacing w:before="240" w:lineRule="auto"/>
        <w:ind w:firstLine="540"/>
        <w:jc w:val="both"/>
      </w:pPr>
      <w:r>
        <w:rPr>
          <w:sz w:val="24"/>
        </w:rPr>
        <w:t xml:space="preserve">На основании сведений, внесенных органами местного самоуправления муниципальных образований Ивановской области в АИС Фонда, формируются сведения об аварийном жилищном фонде, признанном после 01.01.2017 в порядке, установленном законодательством Российской Федерации, аварийными и подлежащими сносу или реконструкции в связи с физическим износом в процессе их эксплуатации.</w:t>
      </w:r>
    </w:p>
    <w:p>
      <w:pPr>
        <w:pStyle w:val="0"/>
        <w:jc w:val="both"/>
      </w:pPr>
      <w:r>
        <w:rPr>
          <w:sz w:val="24"/>
        </w:rPr>
        <w:t xml:space="preserve">(в ред. Постановлений Правительства Ивановской области от 22.08.2025 </w:t>
      </w:r>
      <w:hyperlink w:history="0" r:id="rId38"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rPr>
        <w:t xml:space="preserve">, от 05.02.2026 </w:t>
      </w:r>
      <w:hyperlink w:history="0" r:id="rId39"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33-п</w:t>
        </w:r>
      </w:hyperlink>
      <w:r>
        <w:rPr>
          <w:sz w:val="24"/>
        </w:rPr>
        <w:t xml:space="preserve">)</w:t>
      </w:r>
    </w:p>
    <w:p>
      <w:pPr>
        <w:pStyle w:val="0"/>
        <w:spacing w:before="240" w:lineRule="auto"/>
        <w:ind w:firstLine="540"/>
        <w:jc w:val="both"/>
      </w:pPr>
      <w:r>
        <w:rPr>
          <w:sz w:val="24"/>
        </w:rPr>
        <w:t xml:space="preserve">Департамент жилищно-коммунального хозяйства Ивановской области в целях проверки полноты и достоверности внесенных органами местного самоуправления муниципальных образований Ивановской области в АИС Фонда сведений об аварийном жилищном фонде осуществляет проверку документов, на основании которых было принято решение о признании многоквартирного дома аварийным и подлежащим сносу или реконструкции.</w:t>
      </w:r>
    </w:p>
    <w:p>
      <w:pPr>
        <w:pStyle w:val="0"/>
        <w:jc w:val="center"/>
      </w:pPr>
      <w:r>
        <w:rPr>
          <w:sz w:val="24"/>
        </w:rPr>
      </w:r>
    </w:p>
    <w:p>
      <w:pPr>
        <w:pStyle w:val="2"/>
        <w:outlineLvl w:val="1"/>
        <w:jc w:val="center"/>
      </w:pPr>
      <w:r>
        <w:rPr>
          <w:sz w:val="24"/>
        </w:rPr>
        <w:t xml:space="preserve">4. Формирование Программы и критерии очередности участия</w:t>
      </w:r>
    </w:p>
    <w:p>
      <w:pPr>
        <w:pStyle w:val="2"/>
        <w:jc w:val="center"/>
      </w:pPr>
      <w:r>
        <w:rPr>
          <w:sz w:val="24"/>
        </w:rPr>
        <w:t xml:space="preserve">в Программе муниципальных образований Ивановской области</w:t>
      </w:r>
    </w:p>
    <w:p>
      <w:pPr>
        <w:pStyle w:val="0"/>
        <w:jc w:val="center"/>
      </w:pPr>
      <w:r>
        <w:rPr>
          <w:sz w:val="24"/>
        </w:rPr>
      </w:r>
    </w:p>
    <w:p>
      <w:pPr>
        <w:pStyle w:val="0"/>
        <w:ind w:firstLine="540"/>
        <w:jc w:val="both"/>
      </w:pPr>
      <w:r>
        <w:rPr>
          <w:sz w:val="24"/>
        </w:rPr>
        <w:t xml:space="preserve">В соответствии с </w:t>
      </w:r>
      <w:hyperlink w:history="0" r:id="rId40" w:tooltip="Федеральный закон от 21.07.2007 N 185-ФЗ (ред. от 28.12.2025) &quot;О Фонде содействия реформированию жилищно-коммунального хозяйства&quot; {КонсультантПлюс}">
        <w:r>
          <w:rPr>
            <w:sz w:val="24"/>
            <w:color w:val="0000ff"/>
          </w:rPr>
          <w:t xml:space="preserve">частью 2 статьи 20.15</w:t>
        </w:r>
      </w:hyperlink>
      <w:r>
        <w:rPr>
          <w:sz w:val="24"/>
        </w:rPr>
        <w:t xml:space="preserve"> Федерального закона N 185-ФЗ, </w:t>
      </w:r>
      <w:hyperlink w:history="0" r:id="rId41" w:tooltip="Приказ Минстроя России от 11.11.2021 N 817/пр (ред. от 27.04.2023) &quot;Об утверждении методических рекомендаций по формированию субъектами Российской Федерации региональных адресных программ по переселению граждан из аварийного жилищного фонда&quot; {КонсультантПлюс}">
        <w:r>
          <w:rPr>
            <w:sz w:val="24"/>
            <w:color w:val="0000ff"/>
          </w:rPr>
          <w:t xml:space="preserve">пунктом 3.1.1</w:t>
        </w:r>
      </w:hyperlink>
      <w:r>
        <w:rPr>
          <w:sz w:val="24"/>
        </w:rPr>
        <w:t xml:space="preserve"> Методических рекомендаций по формированию субъектами Российской Федерации региональных адресных программ по переселению граждан из аварийного жилищного фонда, утвержденных приказом Министерства строительства и жилищно-коммунального хозяйства Российской Федерации от 11.11.2021 N 817/пр, настоящая Программа включает в себя перечень многоквартирных домов, которые признаны после 01.01.2017 в порядке, установленном законодательством Российской Федерации, аварийными и подлежащими сносу или реконструкции в связи с физическим износом в процессе их эксплуатации.</w:t>
      </w:r>
    </w:p>
    <w:p>
      <w:pPr>
        <w:pStyle w:val="0"/>
        <w:jc w:val="both"/>
      </w:pPr>
      <w:r>
        <w:rPr>
          <w:sz w:val="24"/>
        </w:rPr>
        <w:t xml:space="preserve">(в ред. Постановлений Правительства Ивановской области от 22.08.2025 </w:t>
      </w:r>
      <w:hyperlink w:history="0" r:id="rId42"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rPr>
        <w:t xml:space="preserve">, от 05.02.2026 </w:t>
      </w:r>
      <w:hyperlink w:history="0" r:id="rId43"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33-п</w:t>
        </w:r>
      </w:hyperlink>
      <w:r>
        <w:rPr>
          <w:sz w:val="24"/>
        </w:rPr>
        <w:t xml:space="preserve">)</w:t>
      </w:r>
    </w:p>
    <w:p>
      <w:pPr>
        <w:pStyle w:val="0"/>
        <w:spacing w:before="240" w:lineRule="auto"/>
        <w:ind w:firstLine="540"/>
        <w:jc w:val="both"/>
      </w:pPr>
      <w:r>
        <w:rPr>
          <w:sz w:val="24"/>
        </w:rPr>
        <w:t xml:space="preserve">Настоящая Программа формируется с учетом предложений о выбранных способах реализации Программы, поступивших в Департамент жилищно-коммунального хозяйства Ивановской области от органов местного самоуправления муниципальных образований Ивановской области, полученных в результате проведенной оценки рынка жилья, стоимости одного квадратного метра приобретения и строительства жилых помещений, свободного муниципального жилищного фонда, а также разъяснительной работы с собственниками помещений в аварийных домах о возможных способах переселения.</w:t>
      </w:r>
    </w:p>
    <w:p>
      <w:pPr>
        <w:pStyle w:val="0"/>
        <w:spacing w:before="240" w:lineRule="auto"/>
        <w:ind w:firstLine="540"/>
        <w:jc w:val="both"/>
      </w:pPr>
      <w:r>
        <w:rPr>
          <w:sz w:val="24"/>
        </w:rPr>
        <w:t xml:space="preserve">В этапы 2024 и 2025 годов Программы включаются муниципальные образования Ивановской области, на территории которых расположен наибольший объем аварийного жилищного фонда. Перечень многоквартирных домов, подлежащих включению в данные этапы Программы, определяется органом местного самоуправления муниципального образования Ивановской области исходя из предусмотренного законом об областном бюджете на соответствующий финансовый год и плановый период объема финансирования для муниципального образования Ивановской области с учетом даты признания многоквартирного дома в порядке, установленном законодательством Российской Федерации, аварийным и подлежащим сносу или реконструкции.</w:t>
      </w:r>
    </w:p>
    <w:p>
      <w:pPr>
        <w:pStyle w:val="0"/>
        <w:jc w:val="both"/>
      </w:pPr>
      <w:r>
        <w:rPr>
          <w:sz w:val="24"/>
        </w:rPr>
        <w:t xml:space="preserve">(в ред. Постановлений Правительства Ивановской области от 22.08.2025 </w:t>
      </w:r>
      <w:hyperlink w:history="0" r:id="rId44"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rPr>
        <w:t xml:space="preserve">, от 22.05.2026 </w:t>
      </w:r>
      <w:hyperlink w:history="0" r:id="rId45"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204-п</w:t>
        </w:r>
      </w:hyperlink>
      <w:r>
        <w:rPr>
          <w:sz w:val="24"/>
        </w:rPr>
        <w:t xml:space="preserve">)</w:t>
      </w:r>
    </w:p>
    <w:p>
      <w:pPr>
        <w:pStyle w:val="0"/>
        <w:spacing w:before="240" w:lineRule="auto"/>
        <w:ind w:firstLine="540"/>
        <w:jc w:val="both"/>
      </w:pPr>
      <w:r>
        <w:rPr>
          <w:sz w:val="24"/>
        </w:rPr>
        <w:t xml:space="preserve">При формировании последующих этапов Программы в первоочередном порядке подлежат включению в соответствующий этап Программы многоквартирные дома, в которых существует угроза обрушения строительных конструкций, угроза жизни и здоровью людей, проживающих в таких домах, а также многоквартирные дома, в отношении которых вступили в законную силу решения суда по вопросу переселения граждан из аварийного жилищного фонда.</w:t>
      </w:r>
    </w:p>
    <w:p>
      <w:pPr>
        <w:pStyle w:val="0"/>
        <w:jc w:val="both"/>
      </w:pPr>
      <w:r>
        <w:rPr>
          <w:sz w:val="24"/>
        </w:rPr>
        <w:t xml:space="preserve">(в ред. </w:t>
      </w:r>
      <w:hyperlink w:history="0" r:id="rId46"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22.05.2026 N 204-п)</w:t>
      </w:r>
    </w:p>
    <w:p>
      <w:pPr>
        <w:pStyle w:val="0"/>
        <w:spacing w:before="240" w:lineRule="auto"/>
        <w:ind w:firstLine="540"/>
        <w:jc w:val="both"/>
      </w:pPr>
      <w:r>
        <w:rPr>
          <w:sz w:val="24"/>
        </w:rPr>
        <w:t xml:space="preserve">При достаточности утвержденного для Ивановской области на соответствующий календарный год лимита финансовой поддержки за счет средств Фонда во вторую очередь в формируемый этап Программы включаются многоквартирные дома, расположенные на территориях опорных населенных пунктов, с учетом объема аварийного жилищного фонда, расположенного на территории муниципального образования Ивановской области.</w:t>
      </w:r>
    </w:p>
    <w:p>
      <w:pPr>
        <w:pStyle w:val="0"/>
        <w:jc w:val="both"/>
      </w:pPr>
      <w:r>
        <w:rPr>
          <w:sz w:val="24"/>
        </w:rPr>
        <w:t xml:space="preserve">(в ред. </w:t>
      </w:r>
      <w:hyperlink w:history="0" r:id="rId47"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22.05.2026 N 204-п)</w:t>
      </w:r>
    </w:p>
    <w:p>
      <w:pPr>
        <w:pStyle w:val="0"/>
        <w:spacing w:before="240" w:lineRule="auto"/>
        <w:ind w:firstLine="540"/>
        <w:jc w:val="both"/>
      </w:pPr>
      <w:hyperlink w:history="0" w:anchor="P339" w:tooltip="Реестр жилищного фонда">
        <w:r>
          <w:rPr>
            <w:sz w:val="24"/>
            <w:color w:val="0000ff"/>
          </w:rPr>
          <w:t xml:space="preserve">Реестр</w:t>
        </w:r>
      </w:hyperlink>
      <w:r>
        <w:rPr>
          <w:sz w:val="24"/>
        </w:rPr>
        <w:t xml:space="preserve"> жилищного фонда (многоквартирные дома), расселение которого осуществляется с участием средств Фонда, приведен в приложении 1 к настоящей Программе.</w:t>
      </w:r>
    </w:p>
    <w:p>
      <w:pPr>
        <w:pStyle w:val="0"/>
        <w:jc w:val="both"/>
      </w:pPr>
      <w:r>
        <w:rPr>
          <w:sz w:val="24"/>
        </w:rPr>
        <w:t xml:space="preserve">(в ред. </w:t>
      </w:r>
      <w:hyperlink w:history="0" r:id="rId48"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Постановления</w:t>
        </w:r>
      </w:hyperlink>
      <w:r>
        <w:rPr>
          <w:sz w:val="24"/>
        </w:rPr>
        <w:t xml:space="preserve"> Правительства Ивановской области от 05.02.2026 N 33-п)</w:t>
      </w:r>
    </w:p>
    <w:p>
      <w:pPr>
        <w:pStyle w:val="0"/>
        <w:spacing w:before="240" w:lineRule="auto"/>
        <w:ind w:firstLine="540"/>
        <w:jc w:val="both"/>
      </w:pPr>
      <w:r>
        <w:rPr>
          <w:sz w:val="24"/>
        </w:rPr>
        <w:t xml:space="preserve">Муниципальные образования Ивановской области - участники Программы разрабатывают и принимают муниципальные адресные программы по переселению граждан из аварийного жилищного фонда (далее - муниципальные программы). Разработка и принятие таких программ осуществляется на основании полученной органом местного самоуправления муниципального образования Ивановской области информации от Департамента жилищно-коммунального хозяйства Ивановской области об очередности участия соответствующего муниципального образования Ивановской области в Программе, а также об объеме долевого финансирования за счет средств бюджета муниципального образования Ивановской области.</w:t>
      </w:r>
    </w:p>
    <w:p>
      <w:pPr>
        <w:pStyle w:val="0"/>
        <w:spacing w:before="240" w:lineRule="auto"/>
        <w:ind w:firstLine="540"/>
        <w:jc w:val="both"/>
      </w:pPr>
      <w:r>
        <w:rPr>
          <w:sz w:val="24"/>
        </w:rPr>
        <w:t xml:space="preserve">Муниципальные программы разрабатываются с учетом требований методических </w:t>
      </w:r>
      <w:hyperlink w:history="0" r:id="rId49" w:tooltip="Приказ Минстроя России от 11.11.2021 N 817/пр (ред. от 27.04.2023) &quot;Об утверждении методических рекомендаций по формированию субъектами Российской Федерации региональных адресных программ по переселению граждан из аварийного жилищного фонда&quot; {КонсультантПлюс}">
        <w:r>
          <w:rPr>
            <w:sz w:val="24"/>
            <w:color w:val="0000ff"/>
          </w:rPr>
          <w:t xml:space="preserve">рекомендаций</w:t>
        </w:r>
      </w:hyperlink>
      <w:r>
        <w:rPr>
          <w:sz w:val="24"/>
        </w:rPr>
        <w:t xml:space="preserve"> по формированию субъектами Российской Федерации региональных адресных программ по переселению граждан из аварийного жилищного фонда, утвержденных Министерством строительства и жилищно-коммунального хозяйства Российской Федерации от 11.11.2021 N 817/пр.</w:t>
      </w:r>
    </w:p>
    <w:p>
      <w:pPr>
        <w:pStyle w:val="0"/>
        <w:jc w:val="both"/>
      </w:pPr>
      <w:r>
        <w:rPr>
          <w:sz w:val="24"/>
        </w:rPr>
      </w:r>
    </w:p>
    <w:p>
      <w:pPr>
        <w:pStyle w:val="2"/>
        <w:outlineLvl w:val="1"/>
        <w:jc w:val="center"/>
      </w:pPr>
      <w:r>
        <w:rPr>
          <w:sz w:val="24"/>
        </w:rPr>
        <w:t xml:space="preserve">5. Механизм реализации Программы</w:t>
      </w:r>
    </w:p>
    <w:p>
      <w:pPr>
        <w:pStyle w:val="0"/>
        <w:jc w:val="both"/>
      </w:pPr>
      <w:r>
        <w:rPr>
          <w:sz w:val="24"/>
        </w:rPr>
      </w:r>
    </w:p>
    <w:p>
      <w:pPr>
        <w:pStyle w:val="0"/>
        <w:ind w:firstLine="540"/>
        <w:jc w:val="both"/>
      </w:pPr>
      <w:r>
        <w:rPr>
          <w:sz w:val="24"/>
        </w:rPr>
        <w:t xml:space="preserve">Механизм реализации Программы предполагает оказание организационной и финансовой поддержки муниципальным образованиям Ивановской области на переселение граждан из аварийного жилищного фонда.</w:t>
      </w:r>
    </w:p>
    <w:p>
      <w:pPr>
        <w:pStyle w:val="0"/>
        <w:spacing w:before="240" w:lineRule="auto"/>
        <w:ind w:firstLine="540"/>
        <w:jc w:val="both"/>
      </w:pPr>
      <w:r>
        <w:rPr>
          <w:sz w:val="24"/>
        </w:rPr>
        <w:t xml:space="preserve">В реализации Программы участвуют муниципальные образования Ивановской области, на территории которых расположены многоквартирные дома, признанные в порядке, установленном законодательством Российской Федерации, аварийными и подлежащими сносу или реконструкции после 01.01.2017 в связи с физическим износом в процессе их эксплуатации.</w:t>
      </w:r>
    </w:p>
    <w:p>
      <w:pPr>
        <w:pStyle w:val="0"/>
        <w:jc w:val="both"/>
      </w:pPr>
      <w:r>
        <w:rPr>
          <w:sz w:val="24"/>
        </w:rPr>
        <w:t xml:space="preserve">(в ред. Постановлений Правительства Ивановской области от 22.08.2025 </w:t>
      </w:r>
      <w:hyperlink w:history="0" r:id="rId50"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rPr>
        <w:t xml:space="preserve">, от 05.02.2026 </w:t>
      </w:r>
      <w:hyperlink w:history="0" r:id="rId51"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33-п</w:t>
        </w:r>
      </w:hyperlink>
      <w:r>
        <w:rPr>
          <w:sz w:val="24"/>
        </w:rPr>
        <w:t xml:space="preserve">)</w:t>
      </w:r>
    </w:p>
    <w:p>
      <w:pPr>
        <w:pStyle w:val="0"/>
        <w:spacing w:before="240" w:lineRule="auto"/>
        <w:ind w:firstLine="540"/>
        <w:jc w:val="both"/>
      </w:pPr>
      <w:r>
        <w:rPr>
          <w:sz w:val="24"/>
        </w:rPr>
        <w:t xml:space="preserve">1) - 15) Утратили силу. - </w:t>
      </w:r>
      <w:hyperlink w:history="0" r:id="rId52"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Постановление</w:t>
        </w:r>
      </w:hyperlink>
      <w:r>
        <w:rPr>
          <w:sz w:val="24"/>
        </w:rPr>
        <w:t xml:space="preserve"> Правительства Ивановской области от 05.02.2026 N 33-п;</w:t>
      </w:r>
    </w:p>
    <w:p>
      <w:pPr>
        <w:pStyle w:val="0"/>
        <w:spacing w:before="240" w:lineRule="auto"/>
        <w:ind w:firstLine="540"/>
        <w:jc w:val="both"/>
      </w:pPr>
      <w:r>
        <w:rPr>
          <w:sz w:val="24"/>
        </w:rPr>
        <w:t xml:space="preserve">16) Утратил силу. - </w:t>
      </w:r>
      <w:hyperlink w:history="0" r:id="rId53"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Постановление</w:t>
        </w:r>
      </w:hyperlink>
      <w:r>
        <w:rPr>
          <w:sz w:val="24"/>
        </w:rPr>
        <w:t xml:space="preserve"> Правительства Ивановской области от 22.08.2025 N 335-п;</w:t>
      </w:r>
    </w:p>
    <w:p>
      <w:pPr>
        <w:pStyle w:val="0"/>
        <w:spacing w:before="240" w:lineRule="auto"/>
        <w:ind w:firstLine="540"/>
        <w:jc w:val="both"/>
      </w:pPr>
      <w:r>
        <w:rPr>
          <w:sz w:val="24"/>
        </w:rPr>
        <w:t xml:space="preserve">17) Утратил силу. - </w:t>
      </w:r>
      <w:hyperlink w:history="0" r:id="rId54"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Постановление</w:t>
        </w:r>
      </w:hyperlink>
      <w:r>
        <w:rPr>
          <w:sz w:val="24"/>
        </w:rPr>
        <w:t xml:space="preserve"> Правительства Ивановской области от 05.02.2026 N 33-п.</w:t>
      </w:r>
    </w:p>
    <w:p>
      <w:pPr>
        <w:pStyle w:val="0"/>
        <w:spacing w:before="240" w:lineRule="auto"/>
        <w:ind w:firstLine="540"/>
        <w:jc w:val="both"/>
      </w:pPr>
      <w:r>
        <w:rPr>
          <w:sz w:val="24"/>
        </w:rPr>
        <w:t xml:space="preserve">Реализация Программы осуществляется посредством долевого финансирования программных мероприятий за счет средств Фонда, бюджета Ивановской области и бюджетов муниципальных образований Ивановской области.</w:t>
      </w:r>
    </w:p>
    <w:p>
      <w:pPr>
        <w:pStyle w:val="0"/>
        <w:spacing w:before="240" w:lineRule="auto"/>
        <w:ind w:firstLine="540"/>
        <w:jc w:val="both"/>
      </w:pPr>
      <w:r>
        <w:rPr>
          <w:sz w:val="24"/>
        </w:rPr>
        <w:t xml:space="preserve">Расходование средств, предусмотренных на реализацию Программы, осуществляется на приобретение у застройщиков и лиц, не являющихся застройщиками, жилых помещений в многоквартирных домах, на строительство многоквартирных домов (включая подготовку проектной документации в целях строительства многоквартирных домов), выплату гражданам, в чьей собственности находятся жилые помещения, входящие в аварийный жилищный фонд, возмещения за изымаемые жилые помещения в соответствии с Жилищным </w:t>
      </w:r>
      <w:hyperlink w:history="0" r:id="rId55"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(в ред. </w:t>
      </w:r>
      <w:hyperlink w:history="0" r:id="rId56"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22.08.2025 N 335-п)</w:t>
      </w:r>
    </w:p>
    <w:p>
      <w:pPr>
        <w:pStyle w:val="0"/>
        <w:spacing w:before="240" w:lineRule="auto"/>
        <w:ind w:firstLine="540"/>
        <w:jc w:val="both"/>
      </w:pPr>
      <w:r>
        <w:rPr>
          <w:sz w:val="24"/>
        </w:rPr>
        <w:t xml:space="preserve">Муниципальным образованиям Ивановской области при подготовке документации на проведение закупок в целях реализации мероприятий Программы, за исключением контрактов на выкуп помещений у собственников и контрактов на покупку жилых помещений у лиц, не являющихся застройщиками в домах, введенных в эксплуатацию, необходимо руководствоваться требованиями, приведенными в </w:t>
      </w:r>
      <w:hyperlink w:history="0" w:anchor="P156" w:tooltip="Требования к жилью, строящемуся или приобретаемому">
        <w:r>
          <w:rPr>
            <w:sz w:val="24"/>
            <w:color w:val="0000ff"/>
          </w:rPr>
          <w:t xml:space="preserve">таблице</w:t>
        </w:r>
      </w:hyperlink>
      <w:r>
        <w:rPr>
          <w:sz w:val="24"/>
        </w:rPr>
        <w:t xml:space="preserve"> ниже.</w:t>
      </w:r>
    </w:p>
    <w:p>
      <w:pPr>
        <w:pStyle w:val="0"/>
        <w:jc w:val="right"/>
      </w:pPr>
      <w:r>
        <w:rPr>
          <w:sz w:val="24"/>
        </w:rPr>
      </w:r>
    </w:p>
    <w:p>
      <w:pPr>
        <w:pStyle w:val="0"/>
        <w:jc w:val="right"/>
      </w:pPr>
      <w:r>
        <w:rPr>
          <w:sz w:val="24"/>
        </w:rPr>
        <w:t xml:space="preserve">Таблица</w:t>
      </w:r>
    </w:p>
    <w:p>
      <w:pPr>
        <w:pStyle w:val="0"/>
        <w:jc w:val="center"/>
      </w:pPr>
      <w:r>
        <w:rPr>
          <w:sz w:val="24"/>
        </w:rPr>
      </w:r>
    </w:p>
    <w:bookmarkStart w:id="156" w:name="P156"/>
    <w:bookmarkEnd w:id="156"/>
    <w:p>
      <w:pPr>
        <w:pStyle w:val="0"/>
        <w:jc w:val="center"/>
      </w:pPr>
      <w:r>
        <w:rPr>
          <w:sz w:val="24"/>
        </w:rPr>
        <w:t xml:space="preserve">Требования к жилью, строящемуся или приобретаемому</w:t>
      </w:r>
    </w:p>
    <w:p>
      <w:pPr>
        <w:pStyle w:val="0"/>
        <w:jc w:val="center"/>
      </w:pPr>
      <w:r>
        <w:rPr>
          <w:sz w:val="24"/>
        </w:rPr>
        <w:t xml:space="preserve">в рамках Программы</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608"/>
        <w:gridCol w:w="5896"/>
      </w:tblGrid>
      <w:tr>
        <w:tc>
          <w:tcPr>
            <w:tcW w:w="567" w:type="dxa"/>
          </w:tcPr>
          <w:p>
            <w:pPr>
              <w:pStyle w:val="0"/>
              <w:jc w:val="center"/>
            </w:pPr>
            <w:r>
              <w:rPr>
                <w:sz w:val="24"/>
              </w:rPr>
              <w:t xml:space="preserve">N п/п</w:t>
            </w:r>
          </w:p>
        </w:tc>
        <w:tc>
          <w:tcPr>
            <w:tcW w:w="2608" w:type="dxa"/>
          </w:tcPr>
          <w:p>
            <w:pPr>
              <w:pStyle w:val="0"/>
              <w:jc w:val="center"/>
            </w:pPr>
            <w:r>
              <w:rPr>
                <w:sz w:val="24"/>
              </w:rPr>
              <w:t xml:space="preserve">Наименование требования</w:t>
            </w:r>
          </w:p>
        </w:tc>
        <w:tc>
          <w:tcPr>
            <w:tcW w:w="5896" w:type="dxa"/>
          </w:tcPr>
          <w:p>
            <w:pPr>
              <w:pStyle w:val="0"/>
              <w:jc w:val="center"/>
            </w:pPr>
            <w:r>
              <w:rPr>
                <w:sz w:val="24"/>
              </w:rPr>
              <w:t xml:space="preserve">Содержание требования</w:t>
            </w:r>
          </w:p>
        </w:tc>
      </w:tr>
      <w:tr>
        <w:tc>
          <w:tcPr>
            <w:tcW w:w="567" w:type="dxa"/>
          </w:tcPr>
          <w:bookmarkStart w:id="162" w:name="P162"/>
          <w:bookmarkEnd w:id="162"/>
          <w:p>
            <w:pPr>
              <w:pStyle w:val="0"/>
              <w:jc w:val="both"/>
            </w:pPr>
            <w:r>
              <w:rPr>
                <w:sz w:val="24"/>
              </w:rPr>
              <w:t xml:space="preserve">1</w:t>
            </w:r>
          </w:p>
        </w:tc>
        <w:tc>
          <w:tcPr>
            <w:tcW w:w="2608" w:type="dxa"/>
          </w:tcPr>
          <w:p>
            <w:pPr>
              <w:pStyle w:val="0"/>
              <w:jc w:val="both"/>
            </w:pPr>
            <w:r>
              <w:rPr>
                <w:sz w:val="24"/>
              </w:rPr>
              <w:t xml:space="preserve">Требования к проектной документации на дом</w:t>
            </w:r>
          </w:p>
        </w:tc>
        <w:tc>
          <w:tcPr>
            <w:tcW w:w="5896" w:type="dxa"/>
          </w:tcPr>
          <w:p>
            <w:pPr>
              <w:pStyle w:val="0"/>
              <w:jc w:val="both"/>
            </w:pPr>
            <w:r>
              <w:rPr>
                <w:sz w:val="24"/>
              </w:rPr>
              <w:t xml:space="preserve">В проектной документации проектные значения параметров и другие проектные характеристики жилья, а также проектируемые мероприятия по обеспечению его безопасности рекомендуется устанавливать таким образом, чтобы в процессе его строительства и эксплуатации оно было безопасным для жизни и здоровья граждан (включая инвалидов и другие группы населения с ограниченными возможностями передвижения), имущества физических и юридических лиц, государственного или муниципального имущества, окружающей среды. Проектную документацию рекомендуется разрабатывать в соответствии с требованиями:</w:t>
            </w:r>
          </w:p>
          <w:p>
            <w:pPr>
              <w:pStyle w:val="0"/>
              <w:jc w:val="both"/>
            </w:pPr>
            <w:r>
              <w:rPr>
                <w:sz w:val="24"/>
              </w:rPr>
              <w:t xml:space="preserve">Федерального </w:t>
            </w:r>
            <w:hyperlink w:history="0" r:id="rId57" w:tooltip="Федеральный закон от 22.07.2008 N 123-ФЗ (ред. от 04.08.2026)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22.07.2008 N 123-ФЗ "Технический регламент о требованиях пожарной безопасности";</w:t>
            </w:r>
          </w:p>
          <w:p>
            <w:pPr>
              <w:pStyle w:val="0"/>
              <w:jc w:val="both"/>
            </w:pPr>
            <w:r>
              <w:rPr>
                <w:sz w:val="24"/>
              </w:rPr>
              <w:t xml:space="preserve">Федерального </w:t>
            </w:r>
            <w:hyperlink w:history="0" r:id="rId58"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закона</w:t>
              </w:r>
            </w:hyperlink>
            <w:r>
              <w:rPr>
                <w:sz w:val="24"/>
              </w:rPr>
              <w:t xml:space="preserve"> от 30.12.2009 N 384-ФЗ "Технический регламент о безопасности зданий и сооружений";</w:t>
            </w:r>
          </w:p>
          <w:p>
            <w:pPr>
              <w:pStyle w:val="0"/>
              <w:jc w:val="both"/>
            </w:pPr>
            <w:hyperlink w:history="0" r:id="rId59" w:tooltip="Постановление Правительства РФ от 16.02.2008 N 87 (ред. от 21.10.2025) &quot;О составе разделов проектной документации и требованиях к их содержанию&quot; {КонсультантПлюс}">
              <w:r>
                <w:rPr>
                  <w:sz w:val="24"/>
                  <w:color w:val="0000ff"/>
                </w:rPr>
                <w:t xml:space="preserve">постановления</w:t>
              </w:r>
            </w:hyperlink>
            <w:r>
              <w:rPr>
                <w:sz w:val="24"/>
              </w:rPr>
              <w:t xml:space="preserve"> Правительства Российской Федерации от 16.02.2008 N 87 "О составе разделов проектной документации и требованиях к их содержанию";</w:t>
            </w:r>
          </w:p>
          <w:p>
            <w:pPr>
              <w:pStyle w:val="0"/>
              <w:jc w:val="both"/>
            </w:pPr>
            <w:hyperlink w:history="0" r:id="rId60" w:tooltip="Ссылка на КонсультантПлюс">
              <w:r>
                <w:rPr>
                  <w:sz w:val="24"/>
                  <w:color w:val="0000ff"/>
                </w:rPr>
                <w:t xml:space="preserve">СП 42.13330.2016</w:t>
              </w:r>
            </w:hyperlink>
            <w:r>
              <w:rPr>
                <w:sz w:val="24"/>
              </w:rPr>
              <w:t xml:space="preserve"> "Градостроительство. Планировка и застройка городских и сельских поселений", утвержденных </w:t>
            </w:r>
            <w:hyperlink w:history="0" r:id="rId61" w:tooltip="Приказ Минстроя России от 30.12.2016 N 1034/пр (ред. от 10.02.2017) &quot;Об утверждении СП 42.13330 &quot;СНиП 2.07.01-89* Градостроительство. Планировка и застройка городских и сельских поселений&quot; ------------ Утратил силу или отменен {КонсультантПлюс}">
              <w:r>
                <w:rPr>
                  <w:sz w:val="24"/>
                  <w:color w:val="0000ff"/>
                </w:rPr>
                <w:t xml:space="preserve">приказом</w:t>
              </w:r>
            </w:hyperlink>
            <w:r>
              <w:rPr>
                <w:sz w:val="24"/>
              </w:rPr>
              <w:t xml:space="preserve"> Минстроя России от 30.12.2016 N 1034/пр;</w:t>
            </w:r>
          </w:p>
          <w:p>
            <w:pPr>
              <w:pStyle w:val="0"/>
              <w:jc w:val="both"/>
            </w:pPr>
            <w:hyperlink w:history="0" r:id="rId62" w:tooltip="Ссылка на КонсультантПлюс">
              <w:r>
                <w:rPr>
                  <w:sz w:val="24"/>
                  <w:color w:val="0000ff"/>
                </w:rPr>
                <w:t xml:space="preserve">СП 54.13330.2022</w:t>
              </w:r>
            </w:hyperlink>
            <w:r>
              <w:rPr>
                <w:sz w:val="24"/>
              </w:rPr>
              <w:t xml:space="preserve"> "СНиП 31-01-2003 Здания жилые многоквартирные", утвержденных </w:t>
            </w:r>
            <w:hyperlink w:history="0" r:id="rId63" w:tooltip="Приказ Минстроя России от 13.05.2022 N 361/пр &quot;Об утверждении СП 54.13330.2022 &quot;СНиП 31-01-2003 Здания жилые многоквартирные&quot; {КонсультантПлюс}">
              <w:r>
                <w:rPr>
                  <w:sz w:val="24"/>
                  <w:color w:val="0000ff"/>
                </w:rPr>
                <w:t xml:space="preserve">приказом</w:t>
              </w:r>
            </w:hyperlink>
            <w:r>
              <w:rPr>
                <w:sz w:val="24"/>
              </w:rPr>
              <w:t xml:space="preserve"> Минстроя России от 13.05.2022 N 361/пр;</w:t>
            </w:r>
          </w:p>
          <w:p>
            <w:pPr>
              <w:pStyle w:val="0"/>
              <w:jc w:val="both"/>
            </w:pPr>
            <w:hyperlink w:history="0" r:id="rId64" w:tooltip="Ссылка на КонсультантПлюс">
              <w:r>
                <w:rPr>
                  <w:sz w:val="24"/>
                  <w:color w:val="0000ff"/>
                </w:rPr>
                <w:t xml:space="preserve">СП 59.13330.2020</w:t>
              </w:r>
            </w:hyperlink>
            <w:r>
              <w:rPr>
                <w:sz w:val="24"/>
              </w:rPr>
              <w:t xml:space="preserve"> "Доступность зданий и сооружений для маломобильных групп населения", утвержденных </w:t>
            </w:r>
            <w:hyperlink w:history="0" r:id="rId65" w:tooltip="Приказ Минстроя России от 30.12.2020 N 904/пр &quot;Об утверждении СП 59.13330.2020 &quot;СНиП 35-01-2001 Доступность зданий и сооружений для маломобильных групп населения&quot; {КонсультантПлюс}">
              <w:r>
                <w:rPr>
                  <w:sz w:val="24"/>
                  <w:color w:val="0000ff"/>
                </w:rPr>
                <w:t xml:space="preserve">приказом</w:t>
              </w:r>
            </w:hyperlink>
            <w:r>
              <w:rPr>
                <w:sz w:val="24"/>
              </w:rPr>
              <w:t xml:space="preserve"> Минстроя России от 30.12.2020 N 904/пр;</w:t>
            </w:r>
          </w:p>
          <w:p>
            <w:pPr>
              <w:pStyle w:val="0"/>
              <w:jc w:val="both"/>
            </w:pPr>
            <w:hyperlink w:history="0" r:id="rId66" w:tooltip="Ссылка на КонсультантПлюс">
              <w:r>
                <w:rPr>
                  <w:sz w:val="24"/>
                  <w:color w:val="0000ff"/>
                </w:rPr>
                <w:t xml:space="preserve">СП 14.13330.2018</w:t>
              </w:r>
            </w:hyperlink>
            <w:r>
              <w:rPr>
                <w:sz w:val="24"/>
              </w:rPr>
              <w:t xml:space="preserve"> "Строительство в сейсмических районах", утвержденных </w:t>
            </w:r>
            <w:hyperlink w:history="0" r:id="rId67" w:tooltip="Приказ Минстроя России от 24.05.2018 N 309/пр &quot;Об утверждении СП 14.13330.2018 &quot;СНиП II-7-81* Строительство в сейсмических районах&quot; {КонсультантПлюс}">
              <w:r>
                <w:rPr>
                  <w:sz w:val="24"/>
                  <w:color w:val="0000ff"/>
                </w:rPr>
                <w:t xml:space="preserve">приказом</w:t>
              </w:r>
            </w:hyperlink>
            <w:r>
              <w:rPr>
                <w:sz w:val="24"/>
              </w:rPr>
              <w:t xml:space="preserve"> Минстроя России от 24.05.2018 N 309/пр;</w:t>
            </w:r>
          </w:p>
          <w:p>
            <w:pPr>
              <w:pStyle w:val="0"/>
              <w:jc w:val="both"/>
            </w:pPr>
            <w:hyperlink w:history="0" r:id="rId68" w:tooltip="Ссылка на КонсультантПлюс">
              <w:r>
                <w:rPr>
                  <w:sz w:val="24"/>
                  <w:color w:val="0000ff"/>
                </w:rPr>
                <w:t xml:space="preserve">СП 22.13330.2016</w:t>
              </w:r>
            </w:hyperlink>
            <w:r>
              <w:rPr>
                <w:sz w:val="24"/>
              </w:rPr>
              <w:t xml:space="preserve"> "Основания зданий и сооружений", утвержденных </w:t>
            </w:r>
            <w:hyperlink w:history="0" r:id="rId69" w:tooltip="Приказ Минстроя России от 16.12.2016 N 970/пр (ред. от 10.02.2017) &quot;Об утверждении СП 22.13330 &quot;СНиП 2.02.01-83* Основания зданий и сооружений&quot; {КонсультантПлюс}">
              <w:r>
                <w:rPr>
                  <w:sz w:val="24"/>
                  <w:color w:val="0000ff"/>
                </w:rPr>
                <w:t xml:space="preserve">приказом</w:t>
              </w:r>
            </w:hyperlink>
            <w:r>
              <w:rPr>
                <w:sz w:val="24"/>
              </w:rPr>
              <w:t xml:space="preserve"> Минстроя России от 16.12.2016 N 970/пр;</w:t>
            </w:r>
          </w:p>
          <w:p>
            <w:pPr>
              <w:pStyle w:val="0"/>
              <w:jc w:val="both"/>
            </w:pPr>
            <w:hyperlink w:history="0" r:id="rId70" w:tooltip="Приказ МЧС России от 12.03.2020 N 151 (ред. от 06.11.2025) &quot;Об утверждении свода правил СП 2.13130 &quot;Системы противопожарной защиты. Обеспечение огнестойкости объектов защиты&quot; (вместе с &quot;СП 2.13130.2020. Свод правил. Системы противопожарной защиты. Обеспечение огнестойкости объектов защиты&quot;) {КонсультантПлюс}">
              <w:r>
                <w:rPr>
                  <w:sz w:val="24"/>
                  <w:color w:val="0000ff"/>
                </w:rPr>
                <w:t xml:space="preserve">СП 2.13130.2020</w:t>
              </w:r>
            </w:hyperlink>
            <w:r>
              <w:rPr>
                <w:sz w:val="24"/>
              </w:rPr>
              <w:t xml:space="preserve"> "Системы противопожарной защиты. Обеспечение огнестойкости объектов защиты", утвержденных приказом МЧС России от 12.03.2020 N 151;</w:t>
            </w:r>
          </w:p>
          <w:p>
            <w:pPr>
              <w:pStyle w:val="0"/>
              <w:jc w:val="both"/>
            </w:pPr>
            <w:hyperlink w:history="0" r:id="rId71" w:tooltip="Приказ МЧС России от 24.04.2013 N 288 (ред. от 27.06.2023) &quot;Об утверждении свода правил СП 4.13130 &quot;Системы противопожарной защиты. Ограничение распространения пожара на объектах защиты. Требования к объемно-планировочным и конструктивным решениям&quot; (вместе с &quot;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quot;) {КонсультантПлюс}">
              <w:r>
                <w:rPr>
                  <w:sz w:val="24"/>
                  <w:color w:val="0000ff"/>
                </w:rPr>
                <w:t xml:space="preserve">СП 4.13130.2013</w:t>
              </w:r>
            </w:hyperlink>
            <w:r>
              <w:rPr>
                <w:sz w:val="24"/>
              </w:rPr>
              <w:t xml:space="preserve">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утвержденных приказом МЧС России от 24.04.2013 N 288;</w:t>
            </w:r>
          </w:p>
          <w:p>
            <w:pPr>
              <w:pStyle w:val="0"/>
              <w:jc w:val="both"/>
            </w:pPr>
            <w:hyperlink w:history="0" r:id="rId72" w:tooltip="Ссылка на КонсультантПлюс">
              <w:r>
                <w:rPr>
                  <w:sz w:val="24"/>
                  <w:color w:val="0000ff"/>
                </w:rPr>
                <w:t xml:space="preserve">СП 255.1325800.2016</w:t>
              </w:r>
            </w:hyperlink>
            <w:r>
              <w:rPr>
                <w:sz w:val="24"/>
              </w:rPr>
              <w:t xml:space="preserve"> "Здания и сооружения. Правила эксплуатации. Основные положения", утвержденных </w:t>
            </w:r>
            <w:hyperlink w:history="0" r:id="rId73" w:tooltip="Приказ Минстроя России от 24.08.2016 N 590/пр &quot;Об утверждении свода правил &quot;Здания и сооружения. Правила эксплуатации. Основные положения&quot; {КонсультантПлюс}">
              <w:r>
                <w:rPr>
                  <w:sz w:val="24"/>
                  <w:color w:val="0000ff"/>
                </w:rPr>
                <w:t xml:space="preserve">приказом</w:t>
              </w:r>
            </w:hyperlink>
            <w:r>
              <w:rPr>
                <w:sz w:val="24"/>
              </w:rPr>
              <w:t xml:space="preserve"> Минстроя России от 24.08.2016 N 590/пр;</w:t>
            </w:r>
          </w:p>
          <w:p>
            <w:pPr>
              <w:pStyle w:val="0"/>
              <w:jc w:val="both"/>
            </w:pPr>
            <w:hyperlink w:history="0" r:id="rId74" w:tooltip="Ссылка на КонсультантПлюс">
              <w:r>
                <w:rPr>
                  <w:sz w:val="24"/>
                  <w:color w:val="0000ff"/>
                </w:rPr>
                <w:t xml:space="preserve">СП 20.13330.2016</w:t>
              </w:r>
            </w:hyperlink>
            <w:r>
              <w:rPr>
                <w:sz w:val="24"/>
              </w:rPr>
              <w:t xml:space="preserve"> "СНиП 2.01.07-85* Нагрузки и воздействия", утвержденных </w:t>
            </w:r>
            <w:hyperlink w:history="0" r:id="rId75" w:tooltip="Приказ Минстроя России от 03.12.2016 N 891/пр (ред. от 10.02.2017) &quot;Об утверждении СП 20.13330 &quot;СНиП 2.01.07-85* Нагрузки и воздействия&quot; {КонсультантПлюс}">
              <w:r>
                <w:rPr>
                  <w:sz w:val="24"/>
                  <w:color w:val="0000ff"/>
                </w:rPr>
                <w:t xml:space="preserve">приказом</w:t>
              </w:r>
            </w:hyperlink>
            <w:r>
              <w:rPr>
                <w:sz w:val="24"/>
              </w:rPr>
              <w:t xml:space="preserve"> Минстроя России от 03.12.2016 N 891/пр;</w:t>
            </w:r>
          </w:p>
          <w:p>
            <w:pPr>
              <w:pStyle w:val="0"/>
              <w:jc w:val="both"/>
            </w:pPr>
            <w:hyperlink w:history="0" r:id="rId76" w:tooltip="Ссылка на КонсультантПлюс">
              <w:r>
                <w:rPr>
                  <w:sz w:val="24"/>
                  <w:color w:val="0000ff"/>
                </w:rPr>
                <w:t xml:space="preserve">СП 28.13330.2017</w:t>
              </w:r>
            </w:hyperlink>
            <w:r>
              <w:rPr>
                <w:sz w:val="24"/>
              </w:rPr>
              <w:t xml:space="preserve"> "СНиП 2.03.11-85 Защита строительных конструкций от коррозии", утвержденных </w:t>
            </w:r>
            <w:hyperlink w:history="0" r:id="rId77" w:tooltip="Приказ Минстроя России от 27.02.2017 N 127/пр &quot;Об утверждении СП 28.13330.2017 &quot;СНиП 2.03.11-85 Защита строительных конструкций от коррозии&quot; {КонсультантПлюс}">
              <w:r>
                <w:rPr>
                  <w:sz w:val="24"/>
                  <w:color w:val="0000ff"/>
                </w:rPr>
                <w:t xml:space="preserve">приказом</w:t>
              </w:r>
            </w:hyperlink>
            <w:r>
              <w:rPr>
                <w:sz w:val="24"/>
              </w:rPr>
              <w:t xml:space="preserve"> Минстроя России от 27.02.2017 N 127/пр;</w:t>
            </w:r>
          </w:p>
          <w:p>
            <w:pPr>
              <w:pStyle w:val="0"/>
              <w:jc w:val="both"/>
            </w:pPr>
            <w:hyperlink w:history="0" r:id="rId78" w:tooltip="Ссылка на КонсультантПлюс">
              <w:r>
                <w:rPr>
                  <w:sz w:val="24"/>
                  <w:color w:val="0000ff"/>
                </w:rPr>
                <w:t xml:space="preserve">СП 50.13330.2012</w:t>
              </w:r>
            </w:hyperlink>
            <w:r>
              <w:rPr>
                <w:sz w:val="24"/>
              </w:rPr>
              <w:t xml:space="preserve"> "СНиП 23-02-2003 Тепловая защита зданий", утвержденных </w:t>
            </w:r>
            <w:hyperlink w:history="0" r:id="rId79" w:tooltip="Ссылка на КонсультантПлюс">
              <w:r>
                <w:rPr>
                  <w:sz w:val="24"/>
                  <w:color w:val="0000ff"/>
                </w:rPr>
                <w:t xml:space="preserve">приказом</w:t>
              </w:r>
            </w:hyperlink>
            <w:r>
              <w:rPr>
                <w:sz w:val="24"/>
              </w:rPr>
              <w:t xml:space="preserve"> Минрегиона России от 30.06.2012 N 265;</w:t>
            </w:r>
          </w:p>
          <w:p>
            <w:pPr>
              <w:pStyle w:val="0"/>
              <w:jc w:val="both"/>
            </w:pPr>
            <w:hyperlink w:history="0" r:id="rId80" w:tooltip="Ссылка на КонсультантПлюс">
              <w:r>
                <w:rPr>
                  <w:sz w:val="24"/>
                  <w:color w:val="0000ff"/>
                </w:rPr>
                <w:t xml:space="preserve">СП 70.13330.2012</w:t>
              </w:r>
            </w:hyperlink>
            <w:r>
              <w:rPr>
                <w:sz w:val="24"/>
              </w:rPr>
              <w:t xml:space="preserve"> "СНиП 3.03.01-87 Несущие и ограждающие конструкции", утвержденных </w:t>
            </w:r>
            <w:hyperlink w:history="0" r:id="rId81" w:tooltip="Ссылка на КонсультантПлюс">
              <w:r>
                <w:rPr>
                  <w:sz w:val="24"/>
                  <w:color w:val="0000ff"/>
                </w:rPr>
                <w:t xml:space="preserve">приказом</w:t>
              </w:r>
            </w:hyperlink>
            <w:r>
              <w:rPr>
                <w:sz w:val="24"/>
              </w:rPr>
              <w:t xml:space="preserve"> Госстроя от 25.12.2012 N 109/ГС;</w:t>
            </w:r>
          </w:p>
          <w:p>
            <w:pPr>
              <w:pStyle w:val="0"/>
              <w:jc w:val="both"/>
            </w:pPr>
            <w:hyperlink w:history="0" r:id="rId82" w:tooltip="Ссылка на КонсультантПлюс">
              <w:r>
                <w:rPr>
                  <w:sz w:val="24"/>
                  <w:color w:val="0000ff"/>
                </w:rPr>
                <w:t xml:space="preserve">СП 230.1325800.2015</w:t>
              </w:r>
            </w:hyperlink>
            <w:r>
              <w:rPr>
                <w:sz w:val="24"/>
              </w:rPr>
              <w:t xml:space="preserve"> "Конструкции ограждающие зданий. Характеристики теплотехнических неоднородностей", утвержденных </w:t>
            </w:r>
            <w:hyperlink w:history="0" r:id="rId83" w:tooltip="Приказ Минстроя России от 08.04.2015 N 261/пр &quot;Об утверждении свода правил &quot;Конструкции ограждающие зданий. Характеристики теплотехнических неоднородностей&quot; {КонсультантПлюс}">
              <w:r>
                <w:rPr>
                  <w:sz w:val="24"/>
                  <w:color w:val="0000ff"/>
                </w:rPr>
                <w:t xml:space="preserve">приказом</w:t>
              </w:r>
            </w:hyperlink>
            <w:r>
              <w:rPr>
                <w:sz w:val="24"/>
              </w:rPr>
              <w:t xml:space="preserve"> Минстроя России от 08.04.2015 N 261/пр;</w:t>
            </w:r>
          </w:p>
          <w:p>
            <w:pPr>
              <w:pStyle w:val="0"/>
              <w:jc w:val="both"/>
            </w:pPr>
            <w:hyperlink w:history="0" r:id="rId84" w:tooltip="Ссылка на КонсультантПлюс">
              <w:r>
                <w:rPr>
                  <w:sz w:val="24"/>
                  <w:color w:val="0000ff"/>
                </w:rPr>
                <w:t xml:space="preserve">СП 255.1325800.2016</w:t>
              </w:r>
            </w:hyperlink>
            <w:r>
              <w:rPr>
                <w:sz w:val="24"/>
              </w:rPr>
              <w:t xml:space="preserve"> "Здания и сооружения. Правила эксплуатации. Основные положения", утвержденных </w:t>
            </w:r>
            <w:hyperlink w:history="0" r:id="rId85" w:tooltip="Приказ Минстроя России от 24.08.2016 N 590/пр &quot;Об утверждении свода правил &quot;Здания и сооружения. Правила эксплуатации. Основные положения&quot; {КонсультантПлюс}">
              <w:r>
                <w:rPr>
                  <w:sz w:val="24"/>
                  <w:color w:val="0000ff"/>
                </w:rPr>
                <w:t xml:space="preserve">приказом</w:t>
              </w:r>
            </w:hyperlink>
            <w:r>
              <w:rPr>
                <w:sz w:val="24"/>
              </w:rPr>
              <w:t xml:space="preserve"> Минстроя России от 24.08.2016 N 590/пр;</w:t>
            </w:r>
          </w:p>
          <w:p>
            <w:pPr>
              <w:pStyle w:val="0"/>
              <w:jc w:val="both"/>
            </w:pPr>
            <w:hyperlink w:history="0" r:id="rId86" w:tooltip="Ссылка на КонсультантПлюс">
              <w:r>
                <w:rPr>
                  <w:sz w:val="24"/>
                  <w:color w:val="0000ff"/>
                </w:rPr>
                <w:t xml:space="preserve">СП 260.1325800.2023</w:t>
              </w:r>
            </w:hyperlink>
            <w:r>
              <w:rPr>
                <w:sz w:val="24"/>
              </w:rPr>
              <w:t xml:space="preserve"> "Конструкции стальные тонкостенные из холодногнутых оцинкованных профилей и гофрированных листов. Правила проектирования", утвержденных </w:t>
            </w:r>
            <w:hyperlink w:history="0" r:id="rId87" w:tooltip="Приказ Минстроя России от 28.12.2023 N 1015/пр &quot;Об утверждении СП 260.1325800.2023 &quot;Конструкции стальные тонкостенные из холодногнутых оцинкованных профилей и гофрированных листов. Правила проектирования&quot; {КонсультантПлюс}">
              <w:r>
                <w:rPr>
                  <w:sz w:val="24"/>
                  <w:color w:val="0000ff"/>
                </w:rPr>
                <w:t xml:space="preserve">приказом</w:t>
              </w:r>
            </w:hyperlink>
            <w:r>
              <w:rPr>
                <w:sz w:val="24"/>
              </w:rPr>
              <w:t xml:space="preserve"> Минстроя России от 28.12.2023 N 1015/пр;</w:t>
            </w:r>
          </w:p>
          <w:p>
            <w:pPr>
              <w:pStyle w:val="0"/>
              <w:jc w:val="both"/>
            </w:pPr>
            <w:hyperlink w:history="0" r:id="rId88"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28.01.2021 N 2;</w:t>
            </w:r>
          </w:p>
          <w:p>
            <w:pPr>
              <w:pStyle w:val="0"/>
              <w:jc w:val="both"/>
            </w:pPr>
            <w:hyperlink w:history="0" r:id="rId89" w:tooltip="Ссылка на КонсультантПлюс">
              <w:r>
                <w:rPr>
                  <w:sz w:val="24"/>
                  <w:color w:val="0000ff"/>
                </w:rPr>
                <w:t xml:space="preserve">ГОСТ Р 21.101-2020</w:t>
              </w:r>
            </w:hyperlink>
            <w:r>
              <w:rPr>
                <w:sz w:val="24"/>
              </w:rPr>
              <w:t xml:space="preserve"> "Национальный стандарт Российской Федерации. Система проектной документации для строительства. Основные требования к проектной и рабочей документации", утвержденного </w:t>
            </w:r>
            <w:hyperlink w:history="0" r:id="rId90" w:tooltip="Приказ Росстандарта от 23.06.2020 N 282-ст &quot;Об утверждении национального стандарта Российской Федерации&quot; {КонсультантПлюс}">
              <w:r>
                <w:rPr>
                  <w:sz w:val="24"/>
                  <w:color w:val="0000ff"/>
                </w:rPr>
                <w:t xml:space="preserve">приказом</w:t>
              </w:r>
            </w:hyperlink>
            <w:r>
              <w:rPr>
                <w:sz w:val="24"/>
              </w:rPr>
              <w:t xml:space="preserve"> Федерального агентства по техническому регулированию и метрологии от 23.06.2020 N 282-ст;</w:t>
            </w:r>
          </w:p>
          <w:p>
            <w:pPr>
              <w:pStyle w:val="0"/>
              <w:jc w:val="both"/>
            </w:pPr>
            <w:hyperlink w:history="0" r:id="rId91" w:tooltip="Приказ Минстроя России от 26.10.2017 N 1484/пр &quot;Об утверждении методики расчета совокупного выделения в воздух внутренней среды помещений химических веществ с учетом совместного использования строительных материалов, применяемых в проектируемом объекте капитального строительства&quot; (Зарегистрировано в Минюсте России 15.12.2017 N 49275) {КонсультантПлюс}">
              <w:r>
                <w:rPr>
                  <w:sz w:val="24"/>
                  <w:color w:val="0000ff"/>
                </w:rPr>
                <w:t xml:space="preserve">Методики</w:t>
              </w:r>
            </w:hyperlink>
            <w:r>
              <w:rPr>
                <w:sz w:val="24"/>
              </w:rPr>
              <w:t xml:space="preserve"> расчета совокупного выделения в воздух внутренней среды помещений химических веществ с учетом совместного использования строительных материалов, применяемых в проектируемом объекте капитального строительства, утвержденной приказом Минстроя России от 26.10.2017 N 1484/пр.</w:t>
            </w:r>
          </w:p>
          <w:p>
            <w:pPr>
              <w:pStyle w:val="0"/>
              <w:jc w:val="both"/>
            </w:pPr>
            <w:r>
              <w:rPr>
                <w:sz w:val="24"/>
              </w:rPr>
              <w:t xml:space="preserve">Рекомендуется обеспечивать соответствие планируемых к строительству (строящихся) многоквартирных домов, а также подлежащих приобретению жилых помещений положениям санитарно-эпидемиологических </w:t>
            </w:r>
            <w:hyperlink w:history="0" r:id="rId92"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4"/>
                  <w:color w:val="0000ff"/>
                </w:rPr>
                <w:t xml:space="preserve">правил</w:t>
              </w:r>
            </w:hyperlink>
            <w:r>
              <w:rPr>
                <w:sz w:val="24"/>
              </w:rPr>
              <w:t xml:space="preserve"> и нормативов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утвержденных постановлением Главного государственного санитарного врача Российской Федерации от 28.01.2021 N 3.</w:t>
            </w:r>
          </w:p>
          <w:p>
            <w:pPr>
              <w:pStyle w:val="0"/>
              <w:jc w:val="both"/>
            </w:pPr>
            <w:r>
              <w:rPr>
                <w:sz w:val="24"/>
              </w:rPr>
              <w:t xml:space="preserve">В отношении проектной документации на строительство многоквартирного дома, построенного многоквартирного дома, в котором приобретаются жилые помещения, рекомендуется обеспечить наличие положительного заключения экспертизы в соответствии с требованиями, установленными законодательством о градостроительной деятельности</w:t>
            </w:r>
          </w:p>
        </w:tc>
      </w:tr>
      <w:tr>
        <w:tblPrEx>
          <w:tblBorders>
            <w:insideH w:val="nil"/>
          </w:tblBorders>
        </w:tblPrEx>
        <w:tc>
          <w:tcPr>
            <w:tcW w:w="567" w:type="dxa"/>
            <w:tcBorders>
              <w:bottom w:val="nil"/>
            </w:tcBorders>
          </w:tcPr>
          <w:p>
            <w:pPr>
              <w:pStyle w:val="0"/>
              <w:jc w:val="both"/>
            </w:pPr>
            <w:r>
              <w:rPr>
                <w:sz w:val="24"/>
              </w:rPr>
              <w:t xml:space="preserve">2</w:t>
            </w:r>
          </w:p>
        </w:tc>
        <w:tc>
          <w:tcPr>
            <w:tcW w:w="2608" w:type="dxa"/>
            <w:tcBorders>
              <w:bottom w:val="nil"/>
            </w:tcBorders>
          </w:tcPr>
          <w:p>
            <w:pPr>
              <w:pStyle w:val="0"/>
              <w:jc w:val="both"/>
            </w:pPr>
            <w:r>
              <w:rPr>
                <w:sz w:val="24"/>
              </w:rPr>
              <w:t xml:space="preserve">Требование к конструктивному, инженерному и технологическому оснащению строящегося многоквартирного дома, введенного в эксплуатацию многоквартирного дома, в котором приобретается готовое жилье</w:t>
            </w:r>
          </w:p>
        </w:tc>
        <w:tc>
          <w:tcPr>
            <w:tcW w:w="5896" w:type="dxa"/>
            <w:tcBorders>
              <w:bottom w:val="nil"/>
            </w:tcBorders>
          </w:tcPr>
          <w:p>
            <w:pPr>
              <w:pStyle w:val="0"/>
              <w:jc w:val="both"/>
            </w:pPr>
            <w:r>
              <w:rPr>
                <w:sz w:val="24"/>
              </w:rPr>
              <w:t xml:space="preserve">В строящихся домах рекомендуется обеспечивать наличие:</w:t>
            </w:r>
          </w:p>
          <w:p>
            <w:pPr>
              <w:pStyle w:val="0"/>
              <w:jc w:val="both"/>
            </w:pPr>
            <w:r>
              <w:rPr>
                <w:sz w:val="24"/>
              </w:rPr>
              <w:t xml:space="preserve">несущих строительных конструкций, выполненных из следующих материалов:</w:t>
            </w:r>
          </w:p>
          <w:p>
            <w:pPr>
              <w:pStyle w:val="0"/>
              <w:jc w:val="both"/>
            </w:pPr>
            <w:r>
              <w:rPr>
                <w:sz w:val="24"/>
              </w:rPr>
              <w:t xml:space="preserve">а) стены из каменных конструкций (кирпичей, блоков), крупных железобетонных блоков, железобетонных панелей, монолитного железобетонного каркаса с заполнением;</w:t>
            </w:r>
          </w:p>
          <w:p>
            <w:pPr>
              <w:pStyle w:val="0"/>
              <w:jc w:val="both"/>
            </w:pPr>
            <w:r>
              <w:rPr>
                <w:sz w:val="24"/>
              </w:rPr>
              <w:t xml:space="preserve">б) перекрытия из сборных и монолитных железобетонных конструкций;</w:t>
            </w:r>
          </w:p>
          <w:p>
            <w:pPr>
              <w:pStyle w:val="0"/>
              <w:jc w:val="both"/>
            </w:pPr>
            <w:r>
              <w:rPr>
                <w:sz w:val="24"/>
              </w:rPr>
              <w:t xml:space="preserve">в) фундаменты из сборных и монолитных железобетонных и каменных конструкций.</w:t>
            </w:r>
          </w:p>
          <w:p>
            <w:pPr>
              <w:pStyle w:val="0"/>
              <w:jc w:val="both"/>
            </w:pPr>
            <w:r>
              <w:rPr>
                <w:sz w:val="24"/>
              </w:rPr>
              <w:t xml:space="preserve">Для сейсмически опасных районов, территорий с просадочными или подрабатываемыми грунтами, в труднодоступных районах допускается применение комплектов домов высокой степени заводской готовности на основе деревянного каркаса, массивных деревянных панелей и (или) клееных конструкций с наземной этажностью дома не выше трех этажей.</w:t>
            </w:r>
          </w:p>
          <w:p>
            <w:pPr>
              <w:pStyle w:val="0"/>
              <w:jc w:val="both"/>
            </w:pPr>
            <w:r>
              <w:rPr>
                <w:sz w:val="24"/>
              </w:rPr>
              <w:t xml:space="preserve">Для возведения надземной части здания на монолитном железобетонном и (или) свайном фундаменте допускается применение легких стальных тонкостенных конструкций при условии соблюдения требований </w:t>
            </w:r>
            <w:hyperlink w:history="0" w:anchor="P162" w:tooltip="1">
              <w:r>
                <w:rPr>
                  <w:sz w:val="24"/>
                  <w:color w:val="0000ff"/>
                </w:rPr>
                <w:t xml:space="preserve">раздела 1</w:t>
              </w:r>
            </w:hyperlink>
            <w:r>
              <w:rPr>
                <w:sz w:val="24"/>
              </w:rPr>
              <w:t xml:space="preserve"> настоящей таблицы;</w:t>
            </w:r>
          </w:p>
          <w:p>
            <w:pPr>
              <w:pStyle w:val="0"/>
              <w:jc w:val="both"/>
            </w:pPr>
            <w:r>
              <w:rPr>
                <w:sz w:val="24"/>
              </w:rPr>
              <w:t xml:space="preserve">подключения к централизованным сетям инженерно-технического обеспечения по выданным соответствующими ресурсоснабжающими и иными организациями техническим условиям;</w:t>
            </w:r>
          </w:p>
          <w:p>
            <w:pPr>
              <w:pStyle w:val="0"/>
              <w:jc w:val="both"/>
            </w:pPr>
            <w:r>
              <w:rPr>
                <w:sz w:val="24"/>
              </w:rPr>
              <w:t xml:space="preserve">санитарного узла (раздельного или совмещенного), который должен быть внутриквартирным и включать ванну, унитаз, раковину;</w:t>
            </w:r>
          </w:p>
          <w:p>
            <w:pPr>
              <w:pStyle w:val="0"/>
              <w:jc w:val="both"/>
            </w:pPr>
            <w:r>
              <w:rPr>
                <w:sz w:val="24"/>
              </w:rPr>
              <w:t xml:space="preserve">внутридомовых инженерных систем, включая системы:</w:t>
            </w:r>
          </w:p>
          <w:p>
            <w:pPr>
              <w:pStyle w:val="0"/>
              <w:jc w:val="both"/>
            </w:pPr>
            <w:r>
              <w:rPr>
                <w:sz w:val="24"/>
              </w:rPr>
              <w:t xml:space="preserve">а) электроснабжения (с силовым и иным электрооборудованием в соответствии с проектной документацией);</w:t>
            </w:r>
          </w:p>
          <w:p>
            <w:pPr>
              <w:pStyle w:val="0"/>
              <w:jc w:val="both"/>
            </w:pPr>
            <w:r>
              <w:rPr>
                <w:sz w:val="24"/>
              </w:rPr>
              <w:t xml:space="preserve">б) холодного водоснабжения;</w:t>
            </w:r>
          </w:p>
          <w:p>
            <w:pPr>
              <w:pStyle w:val="0"/>
              <w:jc w:val="both"/>
            </w:pPr>
            <w:r>
              <w:rPr>
                <w:sz w:val="24"/>
              </w:rPr>
              <w:t xml:space="preserve">в) водоотведения (канализации);</w:t>
            </w:r>
          </w:p>
          <w:p>
            <w:pPr>
              <w:pStyle w:val="0"/>
              <w:jc w:val="both"/>
            </w:pPr>
            <w:r>
              <w:rPr>
                <w:sz w:val="24"/>
              </w:rPr>
              <w:t xml:space="preserve">г) газоснабжения (при наличии в соответствии с проектной документацией) с устройством сигнализаторов загазованности, сблокированных с быстродействующим запорным клапаном, установленным первым по ходу газа на внутреннем газопроводе жилого здания с возможностью аварийно-диспетчерского обслуживания, а также с установкой легкосбрасываемых оконных блоков (в соответствии с проектной документацией);</w:t>
            </w:r>
          </w:p>
          <w:p>
            <w:pPr>
              <w:pStyle w:val="0"/>
              <w:jc w:val="both"/>
            </w:pPr>
            <w:r>
              <w:rPr>
                <w:sz w:val="24"/>
              </w:rPr>
              <w:t xml:space="preserve">д) отопления (при отсутствии централизованного отопления и наличии газа рекомендуется установка коллективных или индивидуальных газовых котлов);</w:t>
            </w:r>
          </w:p>
          <w:p>
            <w:pPr>
              <w:pStyle w:val="0"/>
              <w:jc w:val="both"/>
            </w:pPr>
            <w:r>
              <w:rPr>
                <w:sz w:val="24"/>
              </w:rPr>
              <w:t xml:space="preserve">е) горячего водоснабжения;</w:t>
            </w:r>
          </w:p>
          <w:p>
            <w:pPr>
              <w:pStyle w:val="0"/>
              <w:jc w:val="both"/>
            </w:pPr>
            <w:r>
              <w:rPr>
                <w:sz w:val="24"/>
              </w:rPr>
              <w:t xml:space="preserve">ж) противопожарной безопасности (в соответствии с проектной документацией);</w:t>
            </w:r>
          </w:p>
          <w:p>
            <w:pPr>
              <w:pStyle w:val="0"/>
              <w:jc w:val="both"/>
            </w:pPr>
            <w:r>
              <w:rPr>
                <w:sz w:val="24"/>
              </w:rPr>
              <w:t xml:space="preserve">з) мусороудаления (при наличии в соответствии с проектной документацией);</w:t>
            </w:r>
          </w:p>
          <w:p>
            <w:pPr>
              <w:pStyle w:val="0"/>
              <w:jc w:val="both"/>
            </w:pPr>
            <w:r>
              <w:rPr>
                <w:sz w:val="24"/>
              </w:rPr>
              <w:t xml:space="preserve">при наличии экономической целесообразности - локальных систем энергоснабжения;</w:t>
            </w:r>
          </w:p>
          <w:p>
            <w:pPr>
              <w:pStyle w:val="0"/>
              <w:jc w:val="both"/>
            </w:pPr>
            <w:r>
              <w:rPr>
                <w:sz w:val="24"/>
              </w:rPr>
              <w:t xml:space="preserve">принятых в эксплуатацию и зарегистрированных в порядке, установленном законодательством Российской Федерации, лифтов (при наличии в соответствии с проектной документацией).</w:t>
            </w:r>
          </w:p>
          <w:p>
            <w:pPr>
              <w:pStyle w:val="0"/>
              <w:jc w:val="both"/>
            </w:pPr>
            <w:r>
              <w:rPr>
                <w:sz w:val="24"/>
              </w:rPr>
              <w:t xml:space="preserve">Лифты рекомендуется оснащать:</w:t>
            </w:r>
          </w:p>
          <w:p>
            <w:pPr>
              <w:pStyle w:val="0"/>
              <w:jc w:val="both"/>
            </w:pPr>
            <w:r>
              <w:rPr>
                <w:sz w:val="24"/>
              </w:rPr>
              <w:t xml:space="preserve">а) кабиной, предназначенной для пользования инвалидом на кресле-коляске с сопровождающим лицом;</w:t>
            </w:r>
          </w:p>
          <w:p>
            <w:pPr>
              <w:pStyle w:val="0"/>
              <w:jc w:val="both"/>
            </w:pPr>
            <w:r>
              <w:rPr>
                <w:sz w:val="24"/>
              </w:rPr>
              <w:t xml:space="preserve">б) оборудованием для связи с диспетчером;</w:t>
            </w:r>
          </w:p>
          <w:p>
            <w:pPr>
              <w:pStyle w:val="0"/>
              <w:jc w:val="both"/>
            </w:pPr>
            <w:r>
              <w:rPr>
                <w:sz w:val="24"/>
              </w:rPr>
              <w:t xml:space="preserve">в) аварийным освещением кабины лифта;</w:t>
            </w:r>
          </w:p>
          <w:p>
            <w:pPr>
              <w:pStyle w:val="0"/>
              <w:jc w:val="both"/>
            </w:pPr>
            <w:r>
              <w:rPr>
                <w:sz w:val="24"/>
              </w:rPr>
              <w:t xml:space="preserve">г) светодиодным освещением кабины лифта в антивандальном исполнении;</w:t>
            </w:r>
          </w:p>
          <w:p>
            <w:pPr>
              <w:pStyle w:val="0"/>
              <w:jc w:val="both"/>
            </w:pPr>
            <w:r>
              <w:rPr>
                <w:sz w:val="24"/>
              </w:rPr>
              <w:t xml:space="preserve">д) панелью управления кабиной лифта в антивандальном исполнении;</w:t>
            </w:r>
          </w:p>
          <w:p>
            <w:pPr>
              <w:pStyle w:val="0"/>
              <w:jc w:val="both"/>
            </w:pPr>
            <w:r>
              <w:rPr>
                <w:sz w:val="24"/>
              </w:rPr>
              <w:t xml:space="preserve">внесенных в Государственный реестр средств измерений, поверенных предприятиями-изготовителями, принятых в эксплуатацию соответствующими ресурсоснабжающими организациями и соответствующих установленным требованиям к классам точности общедомовых (коллективных) приборов учета электрической, тепловой энергии, холодной воды, горячей воды (при централизованном теплоснабжении в установленных случаях);</w:t>
            </w:r>
          </w:p>
          <w:p>
            <w:pPr>
              <w:pStyle w:val="0"/>
              <w:jc w:val="both"/>
            </w:pPr>
            <w:r>
              <w:rPr>
                <w:sz w:val="24"/>
              </w:rPr>
              <w:t xml:space="preserve">оконных блоков со стеклопакетом класса энергоэффективности в соответствии с классом энергоэффективности дома;</w:t>
            </w:r>
          </w:p>
          <w:p>
            <w:pPr>
              <w:pStyle w:val="0"/>
              <w:jc w:val="both"/>
            </w:pPr>
            <w:r>
              <w:rPr>
                <w:sz w:val="24"/>
              </w:rPr>
              <w:t xml:space="preserve">освещения этажных лестничных площадок дома с использованием светильников в антивандальном исполнении со светодиодным источником света, датчиков движения и освещенности;</w:t>
            </w:r>
          </w:p>
          <w:p>
            <w:pPr>
              <w:pStyle w:val="0"/>
              <w:jc w:val="both"/>
            </w:pPr>
            <w:r>
              <w:rPr>
                <w:sz w:val="24"/>
              </w:rPr>
              <w:t xml:space="preserve">при входах в подъезды дома освещения с использованием светильников в антивандальном исполнении со светодиодным источником света и датчиков освещенности, козырьков над входной дверью и утепленных дверных блоков с ручками и автодоводчиком;</w:t>
            </w:r>
          </w:p>
          <w:p>
            <w:pPr>
              <w:pStyle w:val="0"/>
              <w:jc w:val="both"/>
            </w:pPr>
            <w:r>
              <w:rPr>
                <w:sz w:val="24"/>
              </w:rPr>
              <w:t xml:space="preserve">во входах в подвал (техническое подполье) дома металлических дверных блоков с замком, ручками и автодоводчиком;</w:t>
            </w:r>
          </w:p>
          <w:p>
            <w:pPr>
              <w:pStyle w:val="0"/>
              <w:jc w:val="both"/>
            </w:pPr>
            <w:r>
              <w:rPr>
                <w:sz w:val="24"/>
              </w:rPr>
              <w:t xml:space="preserve">отмостки из армированного бетона, асфальта, устроенной по всему периметру дома и обеспечивающей отвод воды от фундаментов;</w:t>
            </w:r>
          </w:p>
          <w:p>
            <w:pPr>
              <w:pStyle w:val="0"/>
              <w:jc w:val="both"/>
            </w:pPr>
            <w:r>
              <w:rPr>
                <w:sz w:val="24"/>
              </w:rPr>
              <w:t xml:space="preserve">организованного водостока;</w:t>
            </w:r>
          </w:p>
          <w:p>
            <w:pPr>
              <w:pStyle w:val="0"/>
              <w:jc w:val="both"/>
            </w:pPr>
            <w:r>
              <w:rPr>
                <w:sz w:val="24"/>
              </w:rPr>
              <w:t xml:space="preserve">благоустройства придомовой территории, в том числе наличия твердого покрытия, озеленения и малых архитектурных форм, площадок общего пользования различного назначения, в том числе детской игровой площадки с игровым комплексом (в соответствии с проектной документацией)</w:t>
            </w:r>
          </w:p>
        </w:tc>
      </w:tr>
      <w:tr>
        <w:tblPrEx>
          <w:tblBorders>
            <w:insideH w:val="nil"/>
          </w:tblBorders>
        </w:tblPrEx>
        <w:tc>
          <w:tcPr>
            <w:gridSpan w:val="3"/>
            <w:tcW w:w="9071" w:type="dxa"/>
            <w:tcBorders>
              <w:top w:val="nil"/>
            </w:tcBorders>
          </w:tcPr>
          <w:p>
            <w:pPr>
              <w:pStyle w:val="0"/>
              <w:jc w:val="both"/>
            </w:pPr>
            <w:r>
              <w:rPr>
                <w:sz w:val="24"/>
              </w:rPr>
              <w:t xml:space="preserve">(в ред. </w:t>
            </w:r>
            <w:hyperlink w:history="0" r:id="rId93"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22.08.2025 N 335-п)</w:t>
            </w:r>
          </w:p>
        </w:tc>
      </w:tr>
      <w:tr>
        <w:tc>
          <w:tcPr>
            <w:tcW w:w="567" w:type="dxa"/>
          </w:tcPr>
          <w:p>
            <w:pPr>
              <w:pStyle w:val="0"/>
              <w:jc w:val="both"/>
            </w:pPr>
            <w:r>
              <w:rPr>
                <w:sz w:val="24"/>
              </w:rPr>
              <w:t xml:space="preserve">3</w:t>
            </w:r>
          </w:p>
        </w:tc>
        <w:tc>
          <w:tcPr>
            <w:tcW w:w="2608" w:type="dxa"/>
          </w:tcPr>
          <w:p>
            <w:pPr>
              <w:pStyle w:val="0"/>
              <w:jc w:val="both"/>
            </w:pPr>
            <w:r>
              <w:rPr>
                <w:sz w:val="24"/>
              </w:rPr>
              <w:t xml:space="preserve">Требования к функциональному оснащению и отделке помещений</w:t>
            </w:r>
          </w:p>
        </w:tc>
        <w:tc>
          <w:tcPr>
            <w:tcW w:w="5896" w:type="dxa"/>
          </w:tcPr>
          <w:p>
            <w:pPr>
              <w:pStyle w:val="0"/>
              <w:jc w:val="both"/>
            </w:pPr>
            <w:r>
              <w:rPr>
                <w:sz w:val="24"/>
              </w:rPr>
              <w:t xml:space="preserve">Для целей переселения граждан из аварийного жилищного фонда рекомендуется использовать построенные и приобретенные жилые помещения, расположенные на любых этажах дома, кроме подвального, цокольного, технического, мансардного, и:</w:t>
            </w:r>
          </w:p>
          <w:p>
            <w:pPr>
              <w:pStyle w:val="0"/>
              <w:jc w:val="both"/>
            </w:pPr>
            <w:r>
              <w:rPr>
                <w:sz w:val="24"/>
              </w:rPr>
              <w:t xml:space="preserve">оборудованные подключенными к соответствующим внутридомовым инженерным системам внутриквартирными инженерными сетями в составе (не менее):</w:t>
            </w:r>
          </w:p>
          <w:p>
            <w:pPr>
              <w:pStyle w:val="0"/>
              <w:jc w:val="both"/>
            </w:pPr>
            <w:r>
              <w:rPr>
                <w:sz w:val="24"/>
              </w:rPr>
              <w:t xml:space="preserve">а) электроснабжения с электрическим щитком с устройствами защитного отключения;</w:t>
            </w:r>
          </w:p>
          <w:p>
            <w:pPr>
              <w:pStyle w:val="0"/>
              <w:jc w:val="both"/>
            </w:pPr>
            <w:r>
              <w:rPr>
                <w:sz w:val="24"/>
              </w:rPr>
              <w:t xml:space="preserve">б) холодного водоснабжения;</w:t>
            </w:r>
          </w:p>
          <w:p>
            <w:pPr>
              <w:pStyle w:val="0"/>
              <w:jc w:val="both"/>
            </w:pPr>
            <w:r>
              <w:rPr>
                <w:sz w:val="24"/>
              </w:rPr>
              <w:t xml:space="preserve">в) горячего водоснабжения (централизованного или автономного);</w:t>
            </w:r>
          </w:p>
          <w:p>
            <w:pPr>
              <w:pStyle w:val="0"/>
              <w:jc w:val="both"/>
            </w:pPr>
            <w:r>
              <w:rPr>
                <w:sz w:val="24"/>
              </w:rPr>
              <w:t xml:space="preserve">г) водоотведения (канализации);</w:t>
            </w:r>
          </w:p>
          <w:p>
            <w:pPr>
              <w:pStyle w:val="0"/>
              <w:jc w:val="both"/>
            </w:pPr>
            <w:r>
              <w:rPr>
                <w:sz w:val="24"/>
              </w:rPr>
              <w:t xml:space="preserve">д) отопления (централизованного или автономного);</w:t>
            </w:r>
          </w:p>
          <w:p>
            <w:pPr>
              <w:pStyle w:val="0"/>
              <w:jc w:val="both"/>
            </w:pPr>
            <w:r>
              <w:rPr>
                <w:sz w:val="24"/>
              </w:rPr>
              <w:t xml:space="preserve">е) вентиляции;</w:t>
            </w:r>
          </w:p>
          <w:p>
            <w:pPr>
              <w:pStyle w:val="0"/>
              <w:jc w:val="both"/>
            </w:pPr>
            <w:r>
              <w:rPr>
                <w:sz w:val="24"/>
              </w:rPr>
              <w:t xml:space="preserve">ж) газоснабжения (при наличии в соответствии с проектной документацией) с устройством сигнализаторов загазованности, сблокированных с быстродействующим запорным клапаном, установленным первым по ходу газа на внутреннем газопроводе жилого здания с возможностью аварийно-диспетчерского обслуживания, а также с установкой легко сбрасываемых оконных блоков (в соответствии с проектной документацией);</w:t>
            </w:r>
          </w:p>
          <w:p>
            <w:pPr>
              <w:pStyle w:val="0"/>
              <w:jc w:val="both"/>
            </w:pPr>
            <w:r>
              <w:rPr>
                <w:sz w:val="24"/>
              </w:rPr>
              <w:t xml:space="preserve">з) внесенных в Государственный реестр средств измерений, поверенных предприятиями-изготовителями, принятых в эксплуатацию соответствующими ресурсоснабжающими организациями и соответствующих установленным требованиям к классам точности индивидуальных приборов учета электрической энергии, холодной воды, горячей воды, природного газа (в установленных случаях) (в соответствии с проектной документацией);</w:t>
            </w:r>
          </w:p>
          <w:p>
            <w:pPr>
              <w:pStyle w:val="0"/>
              <w:jc w:val="both"/>
            </w:pPr>
            <w:r>
              <w:rPr>
                <w:sz w:val="24"/>
              </w:rPr>
              <w:t xml:space="preserve">имеющие чистовую отделку "под ключ", в том числе:</w:t>
            </w:r>
          </w:p>
          <w:p>
            <w:pPr>
              <w:pStyle w:val="0"/>
              <w:jc w:val="both"/>
            </w:pPr>
            <w:r>
              <w:rPr>
                <w:sz w:val="24"/>
              </w:rPr>
              <w:t xml:space="preserve">а) входную утепленную дверь с замком, ручками и дверным глазком;</w:t>
            </w:r>
          </w:p>
          <w:p>
            <w:pPr>
              <w:pStyle w:val="0"/>
              <w:jc w:val="both"/>
            </w:pPr>
            <w:r>
              <w:rPr>
                <w:sz w:val="24"/>
              </w:rPr>
              <w:t xml:space="preserve">б) межкомнатные двери с наличниками и ручками;</w:t>
            </w:r>
          </w:p>
          <w:p>
            <w:pPr>
              <w:pStyle w:val="0"/>
              <w:jc w:val="both"/>
            </w:pPr>
            <w:r>
              <w:rPr>
                <w:sz w:val="24"/>
              </w:rPr>
              <w:t xml:space="preserve">в) оконные блоки со стеклопакетом класса энергоэффективности в соответствии с классом энергоэффективности дома;</w:t>
            </w:r>
          </w:p>
          <w:p>
            <w:pPr>
              <w:pStyle w:val="0"/>
              <w:jc w:val="both"/>
            </w:pPr>
            <w:r>
              <w:rPr>
                <w:sz w:val="24"/>
              </w:rPr>
              <w:t xml:space="preserve">г) вентиляционные решетки;</w:t>
            </w:r>
          </w:p>
          <w:p>
            <w:pPr>
              <w:pStyle w:val="0"/>
              <w:jc w:val="both"/>
            </w:pPr>
            <w:r>
              <w:rPr>
                <w:sz w:val="24"/>
              </w:rPr>
              <w:t xml:space="preserve">д) подвесные крюки для потолочных осветительных приборов во всех помещениях квартиры;</w:t>
            </w:r>
          </w:p>
          <w:p>
            <w:pPr>
              <w:pStyle w:val="0"/>
              <w:jc w:val="both"/>
            </w:pPr>
            <w:r>
              <w:rPr>
                <w:sz w:val="24"/>
              </w:rPr>
              <w:t xml:space="preserve">е) установленные и подключенные к соответствующим внутриквартирным инженерным сетям:</w:t>
            </w:r>
          </w:p>
          <w:p>
            <w:pPr>
              <w:pStyle w:val="0"/>
              <w:jc w:val="both"/>
            </w:pPr>
            <w:r>
              <w:rPr>
                <w:sz w:val="24"/>
              </w:rPr>
              <w:t xml:space="preserve">звонковую сигнализацию (в соответствии с проектной документацией);</w:t>
            </w:r>
          </w:p>
          <w:p>
            <w:pPr>
              <w:pStyle w:val="0"/>
              <w:jc w:val="both"/>
            </w:pPr>
            <w:r>
              <w:rPr>
                <w:sz w:val="24"/>
              </w:rPr>
              <w:t xml:space="preserve">мойку со смесителем и сифоном;</w:t>
            </w:r>
          </w:p>
          <w:p>
            <w:pPr>
              <w:pStyle w:val="0"/>
              <w:jc w:val="both"/>
            </w:pPr>
            <w:r>
              <w:rPr>
                <w:sz w:val="24"/>
              </w:rPr>
              <w:t xml:space="preserve">умывальник со смесителем и сифоном;</w:t>
            </w:r>
          </w:p>
          <w:p>
            <w:pPr>
              <w:pStyle w:val="0"/>
              <w:jc w:val="both"/>
            </w:pPr>
            <w:r>
              <w:rPr>
                <w:sz w:val="24"/>
              </w:rPr>
              <w:t xml:space="preserve">унитаз с сиденьем и сливным бачком;</w:t>
            </w:r>
          </w:p>
          <w:p>
            <w:pPr>
              <w:pStyle w:val="0"/>
              <w:jc w:val="both"/>
            </w:pPr>
            <w:r>
              <w:rPr>
                <w:sz w:val="24"/>
              </w:rPr>
              <w:t xml:space="preserve">ванну с заземлением, со смесителем и сифоном;</w:t>
            </w:r>
          </w:p>
          <w:p>
            <w:pPr>
              <w:pStyle w:val="0"/>
              <w:jc w:val="both"/>
            </w:pPr>
            <w:r>
              <w:rPr>
                <w:sz w:val="24"/>
              </w:rPr>
              <w:t xml:space="preserve">одно-, двухклавишные электровыключатели;</w:t>
            </w:r>
          </w:p>
          <w:p>
            <w:pPr>
              <w:pStyle w:val="0"/>
              <w:jc w:val="both"/>
            </w:pPr>
            <w:r>
              <w:rPr>
                <w:sz w:val="24"/>
              </w:rPr>
              <w:t xml:space="preserve">электророзетки;</w:t>
            </w:r>
          </w:p>
          <w:p>
            <w:pPr>
              <w:pStyle w:val="0"/>
              <w:jc w:val="both"/>
            </w:pPr>
            <w:r>
              <w:rPr>
                <w:sz w:val="24"/>
              </w:rPr>
              <w:t xml:space="preserve">выпуски электропроводки и патроны во всех помещениях квартиры;</w:t>
            </w:r>
          </w:p>
          <w:p>
            <w:pPr>
              <w:pStyle w:val="0"/>
              <w:jc w:val="both"/>
            </w:pPr>
            <w:r>
              <w:rPr>
                <w:sz w:val="24"/>
              </w:rPr>
              <w:t xml:space="preserve">газовую или электрическую плиту (в соответствии с проектным решением);</w:t>
            </w:r>
          </w:p>
          <w:p>
            <w:pPr>
              <w:pStyle w:val="0"/>
              <w:jc w:val="both"/>
            </w:pPr>
            <w:r>
              <w:rPr>
                <w:sz w:val="24"/>
              </w:rPr>
              <w:t xml:space="preserve">радиаторы (отопительные приборы или иные теплопотребляющие элементы внутридомовой системы теплоснабжения) отопления с терморегуляторами (при технологической возможности в соответствии с проектной документацией), а при автономном отоплении и горячем водоснабжении также двухконтурный котел;</w:t>
            </w:r>
          </w:p>
          <w:p>
            <w:pPr>
              <w:pStyle w:val="0"/>
              <w:jc w:val="both"/>
            </w:pPr>
            <w:r>
              <w:rPr>
                <w:sz w:val="24"/>
              </w:rPr>
              <w:t xml:space="preserve">ж) напольные покрытия из керамической плитки в помещениях ванной комнаты, туалета (совмещенного санузла), кладовых, на балконе (лоджии), в остальных помещениях квартиры - из ламината класса износостойкости 22 и выше или линолеума на вспененной основе;</w:t>
            </w:r>
          </w:p>
          <w:p>
            <w:pPr>
              <w:pStyle w:val="0"/>
              <w:jc w:val="both"/>
            </w:pPr>
            <w:r>
              <w:rPr>
                <w:sz w:val="24"/>
              </w:rPr>
              <w:t xml:space="preserve">з) отделку стен водоэмульсионной или иной аналогичной краской в помещениях ванной комнаты, туалета (совмещенного санузла), кладовых, кухни (за исключением части стены (стен) в кухне, примыкающей(-их) к рабочей поверхности, и части стены (стен) в ванной комнате, примыкающей(-их) к ванне и умывальнику, отделка которых производится керамической плиткой); обоями в остальных помещениях;</w:t>
            </w:r>
          </w:p>
          <w:p>
            <w:pPr>
              <w:pStyle w:val="0"/>
              <w:jc w:val="both"/>
            </w:pPr>
            <w:r>
              <w:rPr>
                <w:sz w:val="24"/>
              </w:rPr>
              <w:t xml:space="preserve">и) отделку потолков во всех помещениях квартиры водоэмульсионной или иной аналогичной краской либо конструкцией из сварной виниловой пленки (ПВХ) или бесшовного тканевого полотна, закрепленных на металлическом или пластиковом профиле под перекрытием (натяжные потолки)</w:t>
            </w:r>
          </w:p>
        </w:tc>
      </w:tr>
      <w:tr>
        <w:tc>
          <w:tcPr>
            <w:tcW w:w="567" w:type="dxa"/>
          </w:tcPr>
          <w:p>
            <w:pPr>
              <w:pStyle w:val="0"/>
              <w:jc w:val="both"/>
            </w:pPr>
            <w:r>
              <w:rPr>
                <w:sz w:val="24"/>
              </w:rPr>
              <w:t xml:space="preserve">4</w:t>
            </w:r>
          </w:p>
        </w:tc>
        <w:tc>
          <w:tcPr>
            <w:tcW w:w="2608" w:type="dxa"/>
          </w:tcPr>
          <w:p>
            <w:pPr>
              <w:pStyle w:val="0"/>
              <w:jc w:val="both"/>
            </w:pPr>
            <w:r>
              <w:rPr>
                <w:sz w:val="24"/>
              </w:rPr>
              <w:t xml:space="preserve">Требования к материалам, изделиям и оборудованию</w:t>
            </w:r>
          </w:p>
        </w:tc>
        <w:tc>
          <w:tcPr>
            <w:tcW w:w="5896" w:type="dxa"/>
          </w:tcPr>
          <w:p>
            <w:pPr>
              <w:pStyle w:val="0"/>
              <w:jc w:val="both"/>
            </w:pPr>
            <w:r>
              <w:rPr>
                <w:sz w:val="24"/>
              </w:rPr>
              <w:t xml:space="preserve">Проектом на строительство многоквартирного дома рекомендуется предусмотреть применение современных сертифицированных строительных и отделочных материалов, технологического и инженерного оборудования.</w:t>
            </w:r>
          </w:p>
          <w:p>
            <w:pPr>
              <w:pStyle w:val="0"/>
              <w:jc w:val="both"/>
            </w:pPr>
            <w:r>
              <w:rPr>
                <w:sz w:val="24"/>
              </w:rPr>
              <w:t xml:space="preserve">Строительство рекомендуется осуществлять с применением материалов и оборудования, обеспечивающих соответствие жилища требованиям проектной документации.</w:t>
            </w:r>
          </w:p>
          <w:p>
            <w:pPr>
              <w:pStyle w:val="0"/>
              <w:jc w:val="both"/>
            </w:pPr>
            <w:r>
              <w:rPr>
                <w:sz w:val="24"/>
              </w:rPr>
              <w:t xml:space="preserve">Работы и применяемые строительные материалы в процессе строительства дома, жилые помещения в котором приобретаются в соответствии с муниципальным контрактом в целях переселения граждан из аварийного жилищного фонда, а также результаты таких работ рекомендуется выполнять в соответствии с требованиями технических регламентов, требованиями энергетической эффективности и требованиями оснащенности объекта капитального строительства приборами учета используемых энергетических ресурсов</w:t>
            </w:r>
          </w:p>
        </w:tc>
      </w:tr>
      <w:tr>
        <w:tc>
          <w:tcPr>
            <w:tcW w:w="567" w:type="dxa"/>
          </w:tcPr>
          <w:p>
            <w:pPr>
              <w:pStyle w:val="0"/>
              <w:jc w:val="both"/>
            </w:pPr>
            <w:r>
              <w:rPr>
                <w:sz w:val="24"/>
              </w:rPr>
              <w:t xml:space="preserve">5</w:t>
            </w:r>
          </w:p>
        </w:tc>
        <w:tc>
          <w:tcPr>
            <w:tcW w:w="2608" w:type="dxa"/>
          </w:tcPr>
          <w:p>
            <w:pPr>
              <w:pStyle w:val="0"/>
              <w:jc w:val="both"/>
            </w:pPr>
            <w:r>
              <w:rPr>
                <w:sz w:val="24"/>
              </w:rPr>
              <w:t xml:space="preserve">Требование к энергоэффективности дома</w:t>
            </w:r>
          </w:p>
        </w:tc>
        <w:tc>
          <w:tcPr>
            <w:tcW w:w="5896" w:type="dxa"/>
          </w:tcPr>
          <w:p>
            <w:pPr>
              <w:pStyle w:val="0"/>
              <w:jc w:val="both"/>
            </w:pPr>
            <w:r>
              <w:rPr>
                <w:sz w:val="24"/>
              </w:rPr>
              <w:t xml:space="preserve">Рекомендуется предусматривать класс энергетической эффективности дома не ниже "B" согласно </w:t>
            </w:r>
            <w:hyperlink w:history="0" r:id="rId94" w:tooltip="Приказ Минстроя России от 06.06.2016 N 399/пр &quot;Об утверждении Правил определения класса энергетической эффективности многоквартирных домов&quot; (Зарегистрировано в Минюсте России 08.08.2016 N 43169) {КонсультантПлюс}">
              <w:r>
                <w:rPr>
                  <w:sz w:val="24"/>
                  <w:color w:val="0000ff"/>
                </w:rPr>
                <w:t xml:space="preserve">Правилам</w:t>
              </w:r>
            </w:hyperlink>
            <w:r>
              <w:rPr>
                <w:sz w:val="24"/>
              </w:rPr>
              <w:t xml:space="preserve"> определения класса энергетической эффективности, утвержденным приказом Министерства строительства и жилищно-коммунального хозяйства от 06.06.2016 N 399/пр.</w:t>
            </w:r>
          </w:p>
          <w:p>
            <w:pPr>
              <w:pStyle w:val="0"/>
              <w:jc w:val="both"/>
            </w:pPr>
            <w:r>
              <w:rPr>
                <w:sz w:val="24"/>
              </w:rPr>
              <w:t xml:space="preserve">Рекомендуется предусматривать следующие мероприятия, направленные на повышение энергоэффективности дома:</w:t>
            </w:r>
          </w:p>
          <w:p>
            <w:pPr>
              <w:pStyle w:val="0"/>
              <w:jc w:val="both"/>
            </w:pPr>
            <w:r>
              <w:rPr>
                <w:sz w:val="24"/>
              </w:rPr>
              <w:t xml:space="preserve">предъявлять к оконным блокам в квартирах и в помещениях общего пользования дополнительные требования, указанные выше;</w:t>
            </w:r>
          </w:p>
          <w:p>
            <w:pPr>
              <w:pStyle w:val="0"/>
              <w:jc w:val="both"/>
            </w:pPr>
            <w:r>
              <w:rPr>
                <w:sz w:val="24"/>
              </w:rPr>
              <w:t xml:space="preserve">производить установку в помещениях общего пользования, лестничных клетках, перед входом в подъезды светодиодных светильников с датчиками движения и освещенности;</w:t>
            </w:r>
          </w:p>
          <w:p>
            <w:pPr>
              <w:pStyle w:val="0"/>
              <w:jc w:val="both"/>
            </w:pPr>
            <w:r>
              <w:rPr>
                <w:sz w:val="24"/>
              </w:rPr>
              <w:t xml:space="preserve">проводить освещение придомовой территории с использованием светодиодных светильников и датчиков освещенности;</w:t>
            </w:r>
          </w:p>
          <w:p>
            <w:pPr>
              <w:pStyle w:val="0"/>
              <w:jc w:val="both"/>
            </w:pPr>
            <w:r>
              <w:rPr>
                <w:sz w:val="24"/>
              </w:rPr>
              <w:t xml:space="preserve">выполнять теплоизоляцию подвального (цокольного) и чердачного перекрытий (в соответствии с проектной документацией);</w:t>
            </w:r>
          </w:p>
          <w:p>
            <w:pPr>
              <w:pStyle w:val="0"/>
              <w:jc w:val="both"/>
            </w:pPr>
            <w:r>
              <w:rPr>
                <w:sz w:val="24"/>
              </w:rPr>
              <w:t xml:space="preserve">проводить установку приборов учета горячего и холодного водоснабжения, электроэнергии, газа и других, предусмотренных в проектной документации;</w:t>
            </w:r>
          </w:p>
          <w:p>
            <w:pPr>
              <w:pStyle w:val="0"/>
              <w:jc w:val="both"/>
            </w:pPr>
            <w:r>
              <w:rPr>
                <w:sz w:val="24"/>
              </w:rPr>
              <w:t xml:space="preserve">выполнять установку радиаторов отопления с терморегуляторами (при технологической возможности в соответствии с проектной документацией);</w:t>
            </w:r>
          </w:p>
          <w:p>
            <w:pPr>
              <w:pStyle w:val="0"/>
              <w:jc w:val="both"/>
            </w:pPr>
            <w:r>
              <w:rPr>
                <w:sz w:val="24"/>
              </w:rPr>
              <w:t xml:space="preserve">проводить устройство входных дверей в подъезды дома с утеплением и оборудованием автодоводчиками;</w:t>
            </w:r>
          </w:p>
          <w:p>
            <w:pPr>
              <w:pStyle w:val="0"/>
              <w:jc w:val="both"/>
            </w:pPr>
            <w:r>
              <w:rPr>
                <w:sz w:val="24"/>
              </w:rPr>
              <w:t xml:space="preserve">устраивать входные тамбуры в подъезды дома с утеплением стен, устанавливать утепленные двери тамбура (входную и проходную) с автодоводчиками.</w:t>
            </w:r>
          </w:p>
          <w:p>
            <w:pPr>
              <w:pStyle w:val="0"/>
              <w:jc w:val="both"/>
            </w:pPr>
            <w:r>
              <w:rPr>
                <w:sz w:val="24"/>
              </w:rPr>
              <w:t xml:space="preserve">Рекомендуется обеспечить наличие на фасаде дома указателя класса энергетической эффективности дома в соответствии с </w:t>
            </w:r>
            <w:hyperlink w:history="0" r:id="rId95" w:tooltip="Приказ Минстроя России от 06.06.2016 N 399/пр &quot;Об утверждении Правил определения класса энергетической эффективности многоквартирных домов&quot; (Зарегистрировано в Минюсте России 08.08.2016 N 43169) {КонсультантПлюс}">
              <w:r>
                <w:rPr>
                  <w:sz w:val="24"/>
                  <w:color w:val="0000ff"/>
                </w:rPr>
                <w:t xml:space="preserve">разделом III</w:t>
              </w:r>
            </w:hyperlink>
            <w:r>
              <w:rPr>
                <w:sz w:val="24"/>
              </w:rPr>
              <w:t xml:space="preserve"> Правил определения классов энергетической эффективности многоквартирных домов, утвержденных приказом Министерства строительства и жилищно-коммунального хозяйства Российской Федерации от 06.06.2016 N 399/пр</w:t>
            </w:r>
          </w:p>
        </w:tc>
      </w:tr>
      <w:tr>
        <w:tc>
          <w:tcPr>
            <w:tcW w:w="567" w:type="dxa"/>
          </w:tcPr>
          <w:p>
            <w:pPr>
              <w:pStyle w:val="0"/>
              <w:jc w:val="both"/>
            </w:pPr>
            <w:r>
              <w:rPr>
                <w:sz w:val="24"/>
              </w:rPr>
              <w:t xml:space="preserve">6</w:t>
            </w:r>
          </w:p>
        </w:tc>
        <w:tc>
          <w:tcPr>
            <w:tcW w:w="2608" w:type="dxa"/>
          </w:tcPr>
          <w:p>
            <w:pPr>
              <w:pStyle w:val="0"/>
              <w:jc w:val="both"/>
            </w:pPr>
            <w:r>
              <w:rPr>
                <w:sz w:val="24"/>
              </w:rPr>
              <w:t xml:space="preserve">Требования к эксплуатационной документации дома</w:t>
            </w:r>
          </w:p>
        </w:tc>
        <w:tc>
          <w:tcPr>
            <w:tcW w:w="5896" w:type="dxa"/>
          </w:tcPr>
          <w:p>
            <w:pPr>
              <w:pStyle w:val="0"/>
              <w:jc w:val="both"/>
            </w:pPr>
            <w:r>
              <w:rPr>
                <w:sz w:val="24"/>
              </w:rPr>
              <w:t xml:space="preserve">Рекомендуется иметь в наличии паспорта и инструкции по эксплуатации предприятий-изготовителей на механическое, электрическое, санитарно-техническое и иное, включая лифтовое, оборудование, приборы учета использования энергетических ресурсов (общедомовые (коллективные) и индивидуальные) и узлы управления подачей энергетических ресурсов и т.д., а также соответствующие документы (копии документов), предусмотренные </w:t>
            </w:r>
            <w:hyperlink w:history="0" r:id="rId96"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 Недействующая редакция {КонсультантПлюс}">
              <w:r>
                <w:rPr>
                  <w:sz w:val="24"/>
                  <w:color w:val="0000ff"/>
                </w:rPr>
                <w:t xml:space="preserve">пунктами 24</w:t>
              </w:r>
            </w:hyperlink>
            <w:r>
              <w:rPr>
                <w:sz w:val="24"/>
              </w:rPr>
              <w:t xml:space="preserve"> и </w:t>
            </w:r>
            <w:hyperlink w:history="0" r:id="rId97"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 Недействующая редакция {КонсультантПлюс}">
              <w:r>
                <w:rPr>
                  <w:sz w:val="24"/>
                  <w:color w:val="0000ff"/>
                </w:rPr>
                <w:t xml:space="preserve">26</w:t>
              </w:r>
            </w:hyperlink>
            <w:r>
              <w:rPr>
                <w:sz w:val="24"/>
              </w:rPr>
              <w:t xml:space="preserve"> Правил содержания общего имущества в многоквартирном доме, утвержденных постановлением Правительства Российской Федерации от 13.08.2006 N 491, включая Инструкцию по эксплуатации многоквартирного дома, выполненную в соответствии с </w:t>
            </w:r>
            <w:hyperlink w:history="0" r:id="rId9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пунктом 10.1</w:t>
              </w:r>
            </w:hyperlink>
            <w:r>
              <w:rPr>
                <w:sz w:val="24"/>
              </w:rPr>
              <w:t xml:space="preserve"> Градостроительного кодекса (Требования к безопасной эксплуатации зданий) и </w:t>
            </w:r>
            <w:hyperlink w:history="0" r:id="rId99" w:tooltip="Ссылка на КонсультантПлюс">
              <w:r>
                <w:rPr>
                  <w:sz w:val="24"/>
                  <w:color w:val="0000ff"/>
                </w:rPr>
                <w:t xml:space="preserve">СП 255.1325800</w:t>
              </w:r>
            </w:hyperlink>
            <w:r>
              <w:rPr>
                <w:sz w:val="24"/>
              </w:rPr>
              <w:t xml:space="preserve"> "Здания и сооружения. Правила эксплуатации. Общие положения" (в соответствии с проектной документацией), инструкции по эксплуатации внутриквартирного инженерного оборудования. Комплекты инструкций по эксплуатации внутриквартирного инженерного оборудования рекомендуется передать Заказчику</w:t>
            </w:r>
          </w:p>
        </w:tc>
      </w:tr>
    </w:tbl>
    <w:p>
      <w:pPr>
        <w:pStyle w:val="0"/>
        <w:jc w:val="center"/>
      </w:pPr>
      <w:r>
        <w:rPr>
          <w:sz w:val="24"/>
        </w:rPr>
      </w:r>
    </w:p>
    <w:p>
      <w:pPr>
        <w:pStyle w:val="0"/>
        <w:ind w:firstLine="540"/>
        <w:jc w:val="both"/>
      </w:pPr>
      <w:r>
        <w:rPr>
          <w:sz w:val="24"/>
        </w:rPr>
        <w:t xml:space="preserve">Переселение граждан из аварийного жилищного фонда в рамках Программы осуществляется в соответствии со </w:t>
      </w:r>
      <w:hyperlink w:history="0" r:id="rId100"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статьями 32</w:t>
        </w:r>
      </w:hyperlink>
      <w:r>
        <w:rPr>
          <w:sz w:val="24"/>
        </w:rPr>
        <w:t xml:space="preserve">, </w:t>
      </w:r>
      <w:hyperlink w:history="0" r:id="rId101" w:tooltip="&quot;Жилищный кодекс Российской Федерации&quot; от 29.12.2004 N 188-ФЗ (ред. от 04.08.2026) (с изм. и доп., вступ. в силу с 01.09.2026) {КонсультантПлюс}">
        <w:r>
          <w:rPr>
            <w:sz w:val="24"/>
            <w:color w:val="0000ff"/>
          </w:rPr>
          <w:t xml:space="preserve">86</w:t>
        </w:r>
      </w:hyperlink>
      <w:r>
        <w:rPr>
          <w:sz w:val="24"/>
        </w:rPr>
        <w:t xml:space="preserve"> и </w:t>
      </w:r>
      <w:hyperlink w:history="0" r:id="rId102" w:tooltip="&quot;Жилищный кодекс Российской Федерации&quot; от 29.12.2004 N 188-ФЗ (ред. от 04.08.2026) (с изм. и доп., вступ. в силу с 01.09.2026) {КонсультантПлюс}">
        <w:r>
          <w:rPr>
            <w:sz w:val="24"/>
            <w:color w:val="0000ff"/>
          </w:rPr>
          <w:t xml:space="preserve">89</w:t>
        </w:r>
      </w:hyperlink>
      <w:r>
        <w:rPr>
          <w:sz w:val="24"/>
        </w:rPr>
        <w:t xml:space="preserve"> Жилищного кодекса Российской Федерации.</w:t>
      </w:r>
    </w:p>
    <w:p>
      <w:pPr>
        <w:pStyle w:val="0"/>
        <w:spacing w:before="240" w:lineRule="auto"/>
        <w:ind w:firstLine="540"/>
        <w:jc w:val="both"/>
      </w:pPr>
      <w:r>
        <w:rPr>
          <w:sz w:val="24"/>
        </w:rPr>
        <w:t xml:space="preserve">Жилое помещение, предоставляемое гражданам при переселении из аварийного жилищного фонда, может находиться по месту их жительства в границах соответствующего населенного пункта или с согласия в письменной форме этих граждан в границах другого населенного пункта Ивановской области. При этом отказы, в том числе неоднократные отказы, граждан от предоставляемого им жилого помещения в границах другого населенного пункта не могут являться основанием для отказа в предоставлении им других жилых помещений в целях переселения из аварийного жилищного фонда в границах населенного пункта по месту их жительства или в границах другого населенного пункта Ивановской области.</w:t>
      </w:r>
    </w:p>
    <w:p>
      <w:pPr>
        <w:pStyle w:val="0"/>
        <w:spacing w:before="240" w:lineRule="auto"/>
        <w:ind w:firstLine="540"/>
        <w:jc w:val="both"/>
      </w:pPr>
      <w:hyperlink w:history="0" w:anchor="P1045" w:tooltip="План реализации мероприятий по переселению граждан">
        <w:r>
          <w:rPr>
            <w:sz w:val="24"/>
            <w:color w:val="0000ff"/>
          </w:rPr>
          <w:t xml:space="preserve">План</w:t>
        </w:r>
      </w:hyperlink>
      <w:r>
        <w:rPr>
          <w:sz w:val="24"/>
        </w:rPr>
        <w:t xml:space="preserve"> реализации мероприятий по переселению граждан из аварийного жилищного фонда по способам переселения определен в приложении 2 к настоящей Программе.</w:t>
      </w:r>
    </w:p>
    <w:p>
      <w:pPr>
        <w:pStyle w:val="0"/>
        <w:spacing w:before="240" w:lineRule="auto"/>
        <w:ind w:firstLine="540"/>
        <w:jc w:val="both"/>
      </w:pPr>
      <w:hyperlink w:history="0" w:anchor="P1596" w:tooltip="План мероприятий по переселению граждан">
        <w:r>
          <w:rPr>
            <w:sz w:val="24"/>
            <w:color w:val="0000ff"/>
          </w:rPr>
          <w:t xml:space="preserve">План</w:t>
        </w:r>
      </w:hyperlink>
      <w:r>
        <w:rPr>
          <w:sz w:val="24"/>
        </w:rPr>
        <w:t xml:space="preserve"> мероприятий по переселению граждан из аварийного жилищного фонда определен в приложении 3 к настоящей Программе.</w:t>
      </w:r>
    </w:p>
    <w:p>
      <w:pPr>
        <w:pStyle w:val="0"/>
        <w:spacing w:before="240" w:lineRule="auto"/>
        <w:ind w:firstLine="540"/>
        <w:jc w:val="both"/>
      </w:pPr>
      <w:r>
        <w:rPr>
          <w:sz w:val="24"/>
        </w:rPr>
        <w:t xml:space="preserve">Корректировка Программы осуществляется на основании скорректированных органами местного самоуправления муниципальных образований Ивановской области муниципальных программ.</w:t>
      </w:r>
    </w:p>
    <w:p>
      <w:pPr>
        <w:pStyle w:val="0"/>
        <w:spacing w:before="240" w:lineRule="auto"/>
        <w:ind w:firstLine="540"/>
        <w:jc w:val="both"/>
      </w:pPr>
      <w:r>
        <w:rPr>
          <w:sz w:val="24"/>
        </w:rPr>
        <w:t xml:space="preserve">Информация о реализации Программы доводится до собственников помещений в аварийных многоквартирных домах путем размещения на официальных сайтах Департамента жилищно-коммунального хозяйства Ивановской области и органов местного самоуправления муниципальных образований Ивановской области в информационно-телекоммуникационной сети Интернет.</w:t>
      </w:r>
    </w:p>
    <w:p>
      <w:pPr>
        <w:pStyle w:val="0"/>
        <w:spacing w:before="240" w:lineRule="auto"/>
        <w:ind w:firstLine="540"/>
        <w:jc w:val="both"/>
      </w:pPr>
      <w:r>
        <w:rPr>
          <w:sz w:val="24"/>
        </w:rPr>
        <w:t xml:space="preserve">Органы местного самоуправления муниципальных образований Ивановской области доводят информацию до граждан посредством размещения объявлений в подъездах многоквартирных домов, включенных в настоящую Программу. Данная информация включает в себя планируемые сроки переселения граждан из аварийного жилищного фонда. В случае переноса указанных сроков орган местного самоуправления муниципального образования Ивановской области указывает причину их переноса, а также новые сроки переселения граждан.</w:t>
      </w:r>
    </w:p>
    <w:p>
      <w:pPr>
        <w:pStyle w:val="0"/>
        <w:spacing w:before="240" w:lineRule="auto"/>
        <w:ind w:firstLine="540"/>
        <w:jc w:val="both"/>
      </w:pPr>
      <w:r>
        <w:rPr>
          <w:sz w:val="24"/>
        </w:rPr>
        <w:t xml:space="preserve">В целях реализации настоящей Программы Департамент жилищно-коммунального хозяйства Ивановской области осуществляет подготовку и подачу в Фонд заявки на предоставление финансовой поддержки на переселение граждан из аварийного жилищного фонда в пределах установленного лимита.</w:t>
      </w:r>
    </w:p>
    <w:p>
      <w:pPr>
        <w:pStyle w:val="0"/>
        <w:spacing w:before="240" w:lineRule="auto"/>
        <w:ind w:firstLine="540"/>
        <w:jc w:val="both"/>
      </w:pPr>
      <w:r>
        <w:rPr>
          <w:sz w:val="24"/>
        </w:rPr>
        <w:t xml:space="preserve">Порядок взаимодействия между Департаментом жилищно-коммунального хозяйства Ивановской области и органами местного самоуправления муниципальных образований Ивановской области при реализации Программы определяется соглашением, которое заключается в течение 15 календарных дней после одобрения Фондом заявки Ивановской области на предоставление финансовой поддержки на переселение граждан из аварийного жилищного фонда (далее - Соглашение). Форма Соглашения утверждается Департаментом жилищно-коммунального хозяйства Ивановской области.</w:t>
      </w:r>
    </w:p>
    <w:p>
      <w:pPr>
        <w:pStyle w:val="0"/>
        <w:ind w:firstLine="540"/>
        <w:jc w:val="both"/>
      </w:pPr>
      <w:r>
        <w:rPr>
          <w:sz w:val="24"/>
        </w:rPr>
      </w:r>
    </w:p>
    <w:p>
      <w:pPr>
        <w:pStyle w:val="2"/>
        <w:outlineLvl w:val="1"/>
        <w:jc w:val="center"/>
      </w:pPr>
      <w:r>
        <w:rPr>
          <w:sz w:val="24"/>
        </w:rPr>
        <w:t xml:space="preserve">6. Обоснование прогнозного объема средств и объема</w:t>
      </w:r>
    </w:p>
    <w:p>
      <w:pPr>
        <w:pStyle w:val="2"/>
        <w:jc w:val="center"/>
      </w:pPr>
      <w:r>
        <w:rPr>
          <w:sz w:val="24"/>
        </w:rPr>
        <w:t xml:space="preserve">долевого финансирования на реализацию Программы</w:t>
      </w:r>
    </w:p>
    <w:p>
      <w:pPr>
        <w:pStyle w:val="0"/>
        <w:ind w:firstLine="540"/>
        <w:jc w:val="both"/>
      </w:pPr>
      <w:r>
        <w:rPr>
          <w:sz w:val="24"/>
        </w:rPr>
      </w:r>
    </w:p>
    <w:p>
      <w:pPr>
        <w:pStyle w:val="0"/>
        <w:ind w:firstLine="540"/>
        <w:jc w:val="both"/>
      </w:pPr>
      <w:r>
        <w:rPr>
          <w:sz w:val="24"/>
        </w:rPr>
        <w:t xml:space="preserve">Источниками финансирования расходов на переселение граждан из аварийного жилищного фонда в рамках настоящей Программы являются:</w:t>
      </w:r>
    </w:p>
    <w:p>
      <w:pPr>
        <w:pStyle w:val="0"/>
        <w:spacing w:before="240" w:lineRule="auto"/>
        <w:ind w:firstLine="540"/>
        <w:jc w:val="both"/>
      </w:pPr>
      <w:r>
        <w:rPr>
          <w:sz w:val="24"/>
        </w:rPr>
        <w:t xml:space="preserve">средства Фонда;</w:t>
      </w:r>
    </w:p>
    <w:p>
      <w:pPr>
        <w:pStyle w:val="0"/>
        <w:spacing w:before="240" w:lineRule="auto"/>
        <w:ind w:firstLine="540"/>
        <w:jc w:val="both"/>
      </w:pPr>
      <w:r>
        <w:rPr>
          <w:sz w:val="24"/>
        </w:rPr>
        <w:t xml:space="preserve">средства бюджета Ивановской области;</w:t>
      </w:r>
    </w:p>
    <w:p>
      <w:pPr>
        <w:pStyle w:val="0"/>
        <w:spacing w:before="240" w:lineRule="auto"/>
        <w:ind w:firstLine="540"/>
        <w:jc w:val="both"/>
      </w:pPr>
      <w:r>
        <w:rPr>
          <w:sz w:val="24"/>
        </w:rPr>
        <w:t xml:space="preserve">средства бюджетов муниципальных образований Ивановской области, являющихся участниками Программы.</w:t>
      </w:r>
    </w:p>
    <w:p>
      <w:pPr>
        <w:pStyle w:val="0"/>
        <w:spacing w:before="240" w:lineRule="auto"/>
        <w:ind w:firstLine="540"/>
        <w:jc w:val="both"/>
      </w:pPr>
      <w:r>
        <w:rPr>
          <w:sz w:val="24"/>
        </w:rPr>
        <w:t xml:space="preserve">Планируемый объем средств на реализацию каждого этапа Программы рассчитывается как произведение общей площади расселяемых жилых помещений в многоквартирных домах, признанных в порядке, установленном законодательством Российской Федерации, аварийными и подлежащими сносу или реконструкции после 01.01.2017 в связи с физическим износом в процессе их эксплуатации, и стоимости одного квадратного метра общей площади жилого помещения с учетом лимитов финансовой поддержки за счет средств Фонда, установленных для Ивановской области.</w:t>
      </w:r>
    </w:p>
    <w:p>
      <w:pPr>
        <w:pStyle w:val="0"/>
        <w:jc w:val="both"/>
      </w:pPr>
      <w:r>
        <w:rPr>
          <w:sz w:val="24"/>
        </w:rPr>
        <w:t xml:space="preserve">(в ред. Постановлений Правительства Ивановской области от 22.08.2025 </w:t>
      </w:r>
      <w:hyperlink w:history="0" r:id="rId103"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rPr>
        <w:t xml:space="preserve">, от 05.02.2026 </w:t>
      </w:r>
      <w:hyperlink w:history="0" r:id="rId104"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33-п</w:t>
        </w:r>
      </w:hyperlink>
      <w:r>
        <w:rPr>
          <w:sz w:val="24"/>
        </w:rPr>
        <w:t xml:space="preserve">)</w:t>
      </w:r>
    </w:p>
    <w:p>
      <w:pPr>
        <w:pStyle w:val="0"/>
        <w:spacing w:before="240" w:lineRule="auto"/>
        <w:ind w:firstLine="540"/>
        <w:jc w:val="both"/>
      </w:pPr>
      <w:r>
        <w:rPr>
          <w:sz w:val="24"/>
        </w:rPr>
        <w:t xml:space="preserve">Стоимость одного квадратного метра общей площади жилого помещения, используемая для расчета планируемого объема средств на реализацию Программы, соответствует среднерыночной стоимости одного квадратного метра общей площади жилого помещения по Ивановской области, установленной приказом Министерства строительства и жилищно-коммунального хозяйства Российской Федерации на соответствующий период.</w:t>
      </w:r>
    </w:p>
    <w:p>
      <w:pPr>
        <w:pStyle w:val="0"/>
        <w:spacing w:before="240" w:lineRule="auto"/>
        <w:ind w:firstLine="540"/>
        <w:jc w:val="both"/>
      </w:pPr>
      <w:r>
        <w:rPr>
          <w:sz w:val="24"/>
        </w:rPr>
        <w:t xml:space="preserve">При этом начиная с этапа 2025 года планируемый объем финансирования за счет средств Фонда на выплату собственникам возмещения за изымаемые жилые помещения и приобретение жилых помещений у лиц, не являющихся застройщиками, не может превышать величину, рассчитанную как произведение общей площади изымаемого жилого помещения, трех четвертей нормативной стоимости одного квадратного метра общей площади жилого помещения, определяемой Министерством строительства и жилищно-коммунального хозяйства Российской Федерации по субъектам Российской Федерации, установленной на I квартал года подачи заявки, и процента долевого финансирования за счет средств Фонда, рассчитанного для Ивановской области.</w:t>
      </w:r>
    </w:p>
    <w:p>
      <w:pPr>
        <w:pStyle w:val="0"/>
        <w:jc w:val="both"/>
      </w:pPr>
      <w:r>
        <w:rPr>
          <w:sz w:val="24"/>
        </w:rPr>
        <w:t xml:space="preserve">(абзац введен </w:t>
      </w:r>
      <w:hyperlink w:history="0" r:id="rId105"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Постановлением</w:t>
        </w:r>
      </w:hyperlink>
      <w:r>
        <w:rPr>
          <w:sz w:val="24"/>
        </w:rPr>
        <w:t xml:space="preserve"> Правительства Ивановской области от 22.08.2025 N 335-п; в ред. </w:t>
      </w:r>
      <w:hyperlink w:history="0" r:id="rId106"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22.05.2026 N 204-п)</w:t>
      </w:r>
    </w:p>
    <w:p>
      <w:pPr>
        <w:pStyle w:val="0"/>
        <w:spacing w:before="240" w:lineRule="auto"/>
        <w:ind w:firstLine="540"/>
        <w:jc w:val="both"/>
      </w:pPr>
      <w:r>
        <w:rPr>
          <w:sz w:val="24"/>
        </w:rPr>
        <w:t xml:space="preserve">По этапу 2024 года стоимость одного квадратного метра общей площади жилого помещения, необходимая для расчета планируемого объема средств на реализацию такого этапа Программы, определяется на основании данных органов местного самоуправления муниципальных образований Ивановской области - участников Программы, но не выше чем средняя рыночная стоимость одного квадратного метра общей площади жилого помещения по Ивановской области, установленная </w:t>
      </w:r>
      <w:hyperlink w:history="0" r:id="rId107" w:tooltip="Приказ Минстроя России от 11.12.2023 N 888/пр &quot;О нормативе стоимости одного квадратного метра общей площади жилого помещения по Российской Федерации на первое полугодие 2024 года и показателях средней рыночной стоимости одного квадратного метра общей площади жилого помещения по субъектам Российской Федерации на I квартал 2024 года&quot; (Зарегистрировано в Минюсте России 22.12.2023 N 76553) {КонсультантПлюс}">
        <w:r>
          <w:rPr>
            <w:sz w:val="24"/>
            <w:color w:val="0000ff"/>
          </w:rPr>
          <w:t xml:space="preserve">приказом</w:t>
        </w:r>
      </w:hyperlink>
      <w:r>
        <w:rPr>
          <w:sz w:val="24"/>
        </w:rPr>
        <w:t xml:space="preserve"> Министерства строительства и жилищно-коммунального хозяйства Российской Федерации от 11.12.2023 N 888/пр, на I квартал 2024 года.</w:t>
      </w:r>
    </w:p>
    <w:p>
      <w:pPr>
        <w:pStyle w:val="0"/>
        <w:jc w:val="both"/>
      </w:pPr>
      <w:r>
        <w:rPr>
          <w:sz w:val="24"/>
        </w:rPr>
        <w:t xml:space="preserve">(в ред. </w:t>
      </w:r>
      <w:hyperlink w:history="0" r:id="rId108"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22.08.2025 N 335-п)</w:t>
      </w:r>
    </w:p>
    <w:p>
      <w:pPr>
        <w:pStyle w:val="0"/>
        <w:spacing w:before="240" w:lineRule="auto"/>
        <w:ind w:firstLine="540"/>
        <w:jc w:val="both"/>
      </w:pPr>
      <w:r>
        <w:rPr>
          <w:sz w:val="24"/>
        </w:rPr>
        <w:t xml:space="preserve">Доля финансовой поддержки за счет средств Фонда по этапу 2024 года является одинаковой для всех муниципальных образований Ивановской области и составляет 98,01%. Минимальная доля долевого финансирования за счет средств бюджета Ивановской области составляет 0,99%. Доля обязательного софинансирования из муниципального бюджета составляет 1%.</w:t>
      </w:r>
    </w:p>
    <w:p>
      <w:pPr>
        <w:pStyle w:val="0"/>
        <w:jc w:val="both"/>
      </w:pPr>
      <w:r>
        <w:rPr>
          <w:sz w:val="24"/>
        </w:rPr>
        <w:t xml:space="preserve">(в ред. </w:t>
      </w:r>
      <w:hyperlink w:history="0" r:id="rId109"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22.08.2025 N 335-п)</w:t>
      </w:r>
    </w:p>
    <w:p>
      <w:pPr>
        <w:pStyle w:val="0"/>
        <w:spacing w:before="240" w:lineRule="auto"/>
        <w:ind w:firstLine="540"/>
        <w:jc w:val="both"/>
      </w:pPr>
      <w:r>
        <w:rPr>
          <w:sz w:val="24"/>
        </w:rPr>
        <w:t xml:space="preserve">По этапам 2025 и 2026 годов стоимость одного квадратного метра общей площади жилого помещения, необходимая для расчета планируемого объема средств на реализацию таких этапов Программы, определяется на основании данных органов местного самоуправления муниципальных образований Ивановской области - участников Программы, но не выше чем средняя рыночная стоимость одного квадратного метра общей площади жилого помещения по Ивановской области, установленная Министерством строительства и жилищно-коммунального хозяйства Российской Федерации на I квартал соответствующего года.</w:t>
      </w:r>
    </w:p>
    <w:p>
      <w:pPr>
        <w:pStyle w:val="0"/>
        <w:jc w:val="both"/>
      </w:pPr>
      <w:r>
        <w:rPr>
          <w:sz w:val="24"/>
        </w:rPr>
        <w:t xml:space="preserve">(в ред. </w:t>
      </w:r>
      <w:hyperlink w:history="0" r:id="rId110"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22.05.2026 N 204-п)</w:t>
      </w:r>
    </w:p>
    <w:p>
      <w:pPr>
        <w:pStyle w:val="0"/>
        <w:spacing w:before="240" w:lineRule="auto"/>
        <w:ind w:firstLine="540"/>
        <w:jc w:val="both"/>
      </w:pPr>
      <w:r>
        <w:rPr>
          <w:sz w:val="24"/>
        </w:rPr>
        <w:t xml:space="preserve">Доля финансовой поддержки за счет средств Фонда по этапам 2025 и 2026 годов является одинаковой для всех муниципальных образований Ивановской области и составляет 59,14%. Минимальная доля долевого финансирования за счет средств бюджета Ивановской области составляет 35,86%. Доля обязательного софинансирования из муниципального бюджета составляет 5%.</w:t>
      </w:r>
    </w:p>
    <w:p>
      <w:pPr>
        <w:pStyle w:val="0"/>
        <w:jc w:val="both"/>
      </w:pPr>
      <w:r>
        <w:rPr>
          <w:sz w:val="24"/>
        </w:rPr>
        <w:t xml:space="preserve">(абзац введен </w:t>
      </w:r>
      <w:hyperlink w:history="0" r:id="rId111"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Постановлением</w:t>
        </w:r>
      </w:hyperlink>
      <w:r>
        <w:rPr>
          <w:sz w:val="24"/>
        </w:rPr>
        <w:t xml:space="preserve"> Правительства Ивановской области от 22.08.2025 N 335-п; в ред. </w:t>
      </w:r>
      <w:hyperlink w:history="0" r:id="rId112"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rPr>
        <w:t xml:space="preserve"> Правительства Ивановской области от 22.05.2026 N 204-п)</w:t>
      </w:r>
    </w:p>
    <w:p>
      <w:pPr>
        <w:pStyle w:val="0"/>
        <w:spacing w:before="240" w:lineRule="auto"/>
        <w:ind w:firstLine="540"/>
        <w:jc w:val="both"/>
      </w:pPr>
      <w:r>
        <w:rPr>
          <w:sz w:val="24"/>
        </w:rPr>
        <w:t xml:space="preserve">Предусмотренные в рамках Программы средства Фонда и средства областного бюджета распределяются между бюджетами муниципальных образований Ивановской области исходя из площади аварийного жилищного фонда, определяемой на основании данных в отношении многоквартирных домов, включенных в сведения об аварийном жилищном фонде.</w:t>
      </w:r>
    </w:p>
    <w:p>
      <w:pPr>
        <w:pStyle w:val="0"/>
        <w:spacing w:before="240" w:lineRule="auto"/>
        <w:ind w:firstLine="540"/>
        <w:jc w:val="both"/>
      </w:pPr>
      <w:r>
        <w:rPr>
          <w:sz w:val="24"/>
        </w:rPr>
        <w:t xml:space="preserve">Распределение средств по источникам финансирования является плановым и может уточняться по итогам заключенных муниципальных контрактов и соглашений о выкупе жилых помещений.</w:t>
      </w:r>
    </w:p>
    <w:p>
      <w:pPr>
        <w:pStyle w:val="0"/>
        <w:spacing w:before="240" w:lineRule="auto"/>
        <w:ind w:firstLine="540"/>
        <w:jc w:val="both"/>
      </w:pPr>
      <w:r>
        <w:rPr>
          <w:sz w:val="24"/>
        </w:rPr>
        <w:t xml:space="preserve">В поэтапном процессе реализации Программы объемы долевого финансирования мероприятий по переселению граждан из аварийных многоквартирных домов на территории отдельных муниципальных образований Ивановской области корректируются в зависимости от фактических затрат, произведенных органами местного самоуправления муниципальных образований Ивановской области по заключенным муниципальным контрактам.</w:t>
      </w:r>
    </w:p>
    <w:p>
      <w:pPr>
        <w:pStyle w:val="0"/>
        <w:spacing w:before="240" w:lineRule="auto"/>
        <w:ind w:firstLine="540"/>
        <w:jc w:val="both"/>
      </w:pPr>
      <w:r>
        <w:rPr>
          <w:sz w:val="24"/>
        </w:rPr>
        <w:t xml:space="preserve">Средства Фонда, средства долевого финансирования за счет средств бюджета Ивановской области и местных бюджетов могут расходоваться на приобретение жилого помещения площадью, превышающей общую площадь ранее занимаемого жилого помещения, в пределах объема финансовых средств, запланированного на расселение данного помещения.</w:t>
      </w:r>
    </w:p>
    <w:p>
      <w:pPr>
        <w:pStyle w:val="0"/>
        <w:spacing w:before="240" w:lineRule="auto"/>
        <w:ind w:firstLine="540"/>
        <w:jc w:val="both"/>
      </w:pPr>
      <w:r>
        <w:rPr>
          <w:sz w:val="24"/>
        </w:rPr>
        <w:t xml:space="preserve">В случае превышения запланированного Программой объема денежных средств по муниципальному образованию Ивановской области такое превышение финансируется за счет средств бюджета соответствующего муниципального образования Ивановской области.</w:t>
      </w:r>
    </w:p>
    <w:p>
      <w:pPr>
        <w:pStyle w:val="0"/>
        <w:ind w:firstLine="540"/>
        <w:jc w:val="both"/>
      </w:pPr>
      <w:r>
        <w:rPr>
          <w:sz w:val="24"/>
        </w:rPr>
      </w:r>
    </w:p>
    <w:p>
      <w:pPr>
        <w:pStyle w:val="2"/>
        <w:outlineLvl w:val="1"/>
        <w:jc w:val="center"/>
      </w:pPr>
      <w:r>
        <w:rPr>
          <w:sz w:val="24"/>
        </w:rPr>
        <w:t xml:space="preserve">7. Планируемые показатели выполнения Программы</w:t>
      </w:r>
    </w:p>
    <w:p>
      <w:pPr>
        <w:pStyle w:val="0"/>
        <w:ind w:firstLine="540"/>
        <w:jc w:val="both"/>
      </w:pPr>
      <w:r>
        <w:rPr>
          <w:sz w:val="24"/>
        </w:rPr>
      </w:r>
    </w:p>
    <w:p>
      <w:pPr>
        <w:pStyle w:val="0"/>
        <w:ind w:firstLine="540"/>
        <w:jc w:val="both"/>
      </w:pPr>
      <w:r>
        <w:rPr>
          <w:sz w:val="24"/>
        </w:rPr>
        <w:t xml:space="preserve">В результате реализации Программы планируется переселение 586 человек из 32 многоквартирных домов, признанных после 01.01.2017 в порядке, установленном законодательством Российской Федерации, аварийными и подлежащими сносу или реконструкции в связи с физическим износом в процессе их эксплуатации, общей площадью расселяемых жилых помещений 9836,76 кв. м.</w:t>
      </w:r>
    </w:p>
    <w:p>
      <w:pPr>
        <w:pStyle w:val="0"/>
        <w:jc w:val="both"/>
      </w:pPr>
      <w:r>
        <w:rPr>
          <w:sz w:val="24"/>
        </w:rPr>
        <w:t xml:space="preserve">(в ред. Постановлений Правительства Ивановской области от 31.01.2025 </w:t>
      </w:r>
      <w:hyperlink w:history="0" r:id="rId113" w:tooltip="Постановление Правительства Ивановской области от 31.01.2025 N 28-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28-п</w:t>
        </w:r>
      </w:hyperlink>
      <w:r>
        <w:rPr>
          <w:sz w:val="24"/>
        </w:rPr>
        <w:t xml:space="preserve">, от 22.08.2025 </w:t>
      </w:r>
      <w:hyperlink w:history="0" r:id="rId114" w:tooltip="Постановление Правительства Ивановской области от 22.08.2025 N 335-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335-п</w:t>
        </w:r>
      </w:hyperlink>
      <w:r>
        <w:rPr>
          <w:sz w:val="24"/>
        </w:rPr>
        <w:t xml:space="preserve">, от 05.02.2026 </w:t>
      </w:r>
      <w:hyperlink w:history="0" r:id="rId115" w:tooltip="Постановление Правительства Ивановской области от 05.02.2026 N 33-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а {КонсультантПлюс}">
        <w:r>
          <w:rPr>
            <w:sz w:val="24"/>
            <w:color w:val="0000ff"/>
          </w:rPr>
          <w:t xml:space="preserve">N 33-п</w:t>
        </w:r>
      </w:hyperlink>
      <w:r>
        <w:rPr>
          <w:sz w:val="24"/>
        </w:rPr>
        <w:t xml:space="preserve">, от 22.05.2026 </w:t>
      </w:r>
      <w:hyperlink w:history="0" r:id="rId116"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N 204-п</w:t>
        </w:r>
      </w:hyperlink>
      <w:r>
        <w:rPr>
          <w:sz w:val="24"/>
        </w:rPr>
        <w:t xml:space="preserve">)</w:t>
      </w:r>
    </w:p>
    <w:p>
      <w:pPr>
        <w:pStyle w:val="0"/>
        <w:spacing w:before="240" w:lineRule="auto"/>
        <w:ind w:firstLine="540"/>
        <w:jc w:val="both"/>
      </w:pPr>
      <w:r>
        <w:rPr>
          <w:sz w:val="24"/>
        </w:rPr>
        <w:t xml:space="preserve">Планируемые </w:t>
      </w:r>
      <w:hyperlink w:history="0" w:anchor="P1956" w:tooltip="Планируемые показатели реализации">
        <w:r>
          <w:rPr>
            <w:sz w:val="24"/>
            <w:color w:val="0000ff"/>
          </w:rPr>
          <w:t xml:space="preserve">показатели</w:t>
        </w:r>
      </w:hyperlink>
      <w:r>
        <w:rPr>
          <w:sz w:val="24"/>
        </w:rPr>
        <w:t xml:space="preserve"> переселения граждан из аварийного жилищного фонда приведены в приложении 4 к настоящей Программе.</w:t>
      </w:r>
    </w:p>
    <w:p>
      <w:pPr>
        <w:pStyle w:val="0"/>
      </w:pPr>
      <w:r>
        <w:rPr>
          <w:sz w:val="24"/>
        </w:rPr>
      </w:r>
    </w:p>
    <w:p>
      <w:pPr>
        <w:pStyle w:val="2"/>
        <w:outlineLvl w:val="1"/>
        <w:jc w:val="center"/>
      </w:pPr>
      <w:r>
        <w:rPr>
          <w:sz w:val="24"/>
        </w:rPr>
        <w:t xml:space="preserve">8. Осуществление мониторинга за ходом реализации Программы</w:t>
      </w:r>
    </w:p>
    <w:p>
      <w:pPr>
        <w:pStyle w:val="0"/>
        <w:jc w:val="both"/>
      </w:pPr>
      <w:r>
        <w:rPr>
          <w:sz w:val="24"/>
        </w:rPr>
      </w:r>
    </w:p>
    <w:p>
      <w:pPr>
        <w:pStyle w:val="0"/>
        <w:ind w:firstLine="540"/>
        <w:jc w:val="both"/>
      </w:pPr>
      <w:r>
        <w:rPr>
          <w:sz w:val="24"/>
        </w:rPr>
        <w:t xml:space="preserve">Департамент жилищно-коммунального хозяйства Ивановской области осуществляет мониторинг за ходом реализации настоящей Программы посредством сбора и анализа отчетности о ходе реализации настоящей Программы и о расходовании средств Фонда, бюджета Ивановской области и местных бюджетов, предоставляемой органами местного самоуправления муниципальных образований Ивановской области в рамках заключенного Соглашения по форме и в сроки, установленные таким Соглашением.</w:t>
      </w:r>
    </w:p>
    <w:p>
      <w:pPr>
        <w:pStyle w:val="0"/>
        <w:spacing w:before="240" w:lineRule="auto"/>
        <w:ind w:firstLine="540"/>
        <w:jc w:val="both"/>
      </w:pPr>
      <w:r>
        <w:rPr>
          <w:sz w:val="24"/>
        </w:rPr>
        <w:t xml:space="preserve">Органы местного самоуправления муниципальных образований Ивановской области обеспечивают:</w:t>
      </w:r>
    </w:p>
    <w:p>
      <w:pPr>
        <w:pStyle w:val="0"/>
        <w:spacing w:before="240" w:lineRule="auto"/>
        <w:ind w:firstLine="540"/>
        <w:jc w:val="both"/>
      </w:pPr>
      <w:r>
        <w:rPr>
          <w:sz w:val="24"/>
        </w:rPr>
        <w:t xml:space="preserve">целевое и эффективное использование средств, выделенных на реализацию Программы;</w:t>
      </w:r>
    </w:p>
    <w:p>
      <w:pPr>
        <w:pStyle w:val="0"/>
        <w:spacing w:before="240" w:lineRule="auto"/>
        <w:ind w:firstLine="540"/>
        <w:jc w:val="both"/>
      </w:pPr>
      <w:r>
        <w:rPr>
          <w:sz w:val="24"/>
        </w:rPr>
        <w:t xml:space="preserve">переселение граждан из аварийного жилищного фонда в сроки, установленные Программой;</w:t>
      </w:r>
    </w:p>
    <w:p>
      <w:pPr>
        <w:pStyle w:val="0"/>
        <w:spacing w:before="240" w:lineRule="auto"/>
        <w:ind w:firstLine="540"/>
        <w:jc w:val="both"/>
      </w:pPr>
      <w:r>
        <w:rPr>
          <w:sz w:val="24"/>
        </w:rPr>
        <w:t xml:space="preserve">софинансирование мероприятий по переселению граждан из аварийного жилищного фонда не менее установленного Программой размера софинансирования;</w:t>
      </w:r>
    </w:p>
    <w:p>
      <w:pPr>
        <w:pStyle w:val="0"/>
        <w:spacing w:before="240" w:lineRule="auto"/>
        <w:ind w:firstLine="540"/>
        <w:jc w:val="both"/>
      </w:pPr>
      <w:r>
        <w:rPr>
          <w:sz w:val="24"/>
        </w:rPr>
        <w:t xml:space="preserve">соответствие жилых помещений, предоставляемых гражданам при реализации Программы, установленным требованиям, а также своевременное устранение недостатков в случае их выявления.</w:t>
      </w:r>
    </w:p>
    <w:p>
      <w:pPr>
        <w:pStyle w:val="0"/>
        <w:spacing w:before="240" w:lineRule="auto"/>
        <w:ind w:firstLine="540"/>
        <w:jc w:val="both"/>
      </w:pPr>
      <w:r>
        <w:rPr>
          <w:sz w:val="24"/>
        </w:rPr>
        <w:t xml:space="preserve">Ответственность за реализацию мероприятий по переселению граждан из аварийного жилищного фонда, достоверность и полноту представляемой в Департамент жилищно-коммунального хозяйства Ивановской области возлагается на органы местного самоуправления муниципальных образований Ивановской области.</w:t>
      </w:r>
    </w:p>
    <w:p>
      <w:pPr>
        <w:pStyle w:val="0"/>
        <w:spacing w:before="240" w:lineRule="auto"/>
        <w:ind w:firstLine="540"/>
        <w:jc w:val="both"/>
      </w:pPr>
      <w:r>
        <w:rPr>
          <w:sz w:val="24"/>
        </w:rPr>
        <w:t xml:space="preserve">Органы местного самоуправления муниципальных образований Ивановской области несут ответственность за целевое использование бюджетных средств, предоставленных на реализацию Программы, а также по обязательствам и правоотношениям, возникающим в ходе реализации Программы, в соответствии с законодательством Российской Федерации.</w:t>
      </w:r>
    </w:p>
    <w:p>
      <w:pPr>
        <w:pStyle w:val="0"/>
      </w:pPr>
      <w:r>
        <w:rPr>
          <w:sz w:val="24"/>
        </w:rPr>
      </w:r>
    </w:p>
    <w:p>
      <w:pPr>
        <w:pStyle w:val="0"/>
      </w:pPr>
      <w:r>
        <w:rPr>
          <w:sz w:val="24"/>
        </w:rPr>
      </w:r>
    </w:p>
    <w:p>
      <w:pPr>
        <w:pStyle w:val="0"/>
        <w:ind w:firstLine="540"/>
        <w:jc w:val="both"/>
      </w:pPr>
      <w:r>
        <w:rPr>
          <w:sz w:val="24"/>
        </w:rPr>
      </w:r>
    </w:p>
    <w:p>
      <w:pPr>
        <w:pStyle w:val="0"/>
        <w:jc w:val="right"/>
      </w:pPr>
      <w:r>
        <w:rPr>
          <w:sz w:val="24"/>
        </w:rPr>
      </w:r>
    </w:p>
    <w:p>
      <w:pPr>
        <w:pStyle w:val="0"/>
        <w:jc w:val="right"/>
      </w:pPr>
      <w:r>
        <w:rPr>
          <w:sz w:val="24"/>
        </w:rPr>
      </w:r>
    </w:p>
    <w:p>
      <w:pPr>
        <w:pStyle w:val="0"/>
        <w:outlineLvl w:val="1"/>
        <w:jc w:val="right"/>
      </w:pPr>
      <w:r>
        <w:rPr>
          <w:sz w:val="24"/>
        </w:rPr>
        <w:t xml:space="preserve">Приложение 1</w:t>
      </w:r>
    </w:p>
    <w:p>
      <w:pPr>
        <w:pStyle w:val="0"/>
        <w:jc w:val="right"/>
      </w:pPr>
      <w:r>
        <w:rPr>
          <w:sz w:val="24"/>
        </w:rPr>
        <w:t xml:space="preserve">к Программе</w:t>
      </w:r>
    </w:p>
    <w:p>
      <w:pPr>
        <w:pStyle w:val="0"/>
        <w:jc w:val="right"/>
      </w:pPr>
      <w:r>
        <w:rPr>
          <w:sz w:val="24"/>
        </w:rPr>
      </w:r>
    </w:p>
    <w:bookmarkStart w:id="339" w:name="P339"/>
    <w:bookmarkEnd w:id="339"/>
    <w:p>
      <w:pPr>
        <w:pStyle w:val="2"/>
        <w:jc w:val="center"/>
      </w:pPr>
      <w:r>
        <w:rPr>
          <w:sz w:val="24"/>
        </w:rPr>
        <w:t xml:space="preserve">Реестр жилищного фонда</w:t>
      </w:r>
    </w:p>
    <w:p>
      <w:pPr>
        <w:pStyle w:val="2"/>
        <w:jc w:val="center"/>
      </w:pPr>
      <w:r>
        <w:rPr>
          <w:sz w:val="24"/>
        </w:rPr>
        <w:t xml:space="preserve">(многоквартирные дома, дома блокированной застройки,</w:t>
      </w:r>
    </w:p>
    <w:p>
      <w:pPr>
        <w:pStyle w:val="2"/>
        <w:jc w:val="center"/>
      </w:pPr>
      <w:r>
        <w:rPr>
          <w:sz w:val="24"/>
        </w:rPr>
        <w:t xml:space="preserve">объекты индивидуального жилищного строительства)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17"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color w:val="392c69"/>
              </w:rPr>
              <w:t xml:space="preserve"> Правительства Ивановской области</w:t>
            </w:r>
          </w:p>
          <w:p>
            <w:pPr>
              <w:pStyle w:val="0"/>
              <w:jc w:val="center"/>
            </w:pPr>
            <w:r>
              <w:rPr>
                <w:sz w:val="24"/>
                <w:color w:val="392c69"/>
              </w:rPr>
              <w:t xml:space="preserve">от 22.05.2026 N 204-п)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551"/>
        <w:gridCol w:w="2665"/>
        <w:gridCol w:w="1757"/>
        <w:gridCol w:w="1417"/>
        <w:gridCol w:w="1417"/>
        <w:gridCol w:w="964"/>
        <w:gridCol w:w="1304"/>
        <w:gridCol w:w="1304"/>
        <w:gridCol w:w="1020"/>
        <w:gridCol w:w="1077"/>
        <w:gridCol w:w="1531"/>
        <w:gridCol w:w="1417"/>
        <w:gridCol w:w="1701"/>
        <w:gridCol w:w="2268"/>
        <w:gridCol w:w="1928"/>
      </w:tblGrid>
      <w:tr>
        <w:tc>
          <w:tcPr>
            <w:tcW w:w="567" w:type="dxa"/>
            <w:vMerge w:val="restart"/>
          </w:tcPr>
          <w:p>
            <w:pPr>
              <w:pStyle w:val="0"/>
              <w:jc w:val="center"/>
            </w:pPr>
            <w:r>
              <w:rPr>
                <w:sz w:val="24"/>
              </w:rPr>
              <w:t xml:space="preserve">N п/п</w:t>
            </w:r>
          </w:p>
        </w:tc>
        <w:tc>
          <w:tcPr>
            <w:tcW w:w="2551" w:type="dxa"/>
            <w:vMerge w:val="restart"/>
          </w:tcPr>
          <w:p>
            <w:pPr>
              <w:pStyle w:val="0"/>
              <w:jc w:val="center"/>
            </w:pPr>
            <w:r>
              <w:rPr>
                <w:sz w:val="24"/>
              </w:rPr>
              <w:t xml:space="preserve">Наименование муниципального образования Ивановской области</w:t>
            </w:r>
          </w:p>
        </w:tc>
        <w:tc>
          <w:tcPr>
            <w:tcW w:w="2665" w:type="dxa"/>
            <w:vMerge w:val="restart"/>
          </w:tcPr>
          <w:p>
            <w:pPr>
              <w:pStyle w:val="0"/>
              <w:jc w:val="center"/>
            </w:pPr>
            <w:r>
              <w:rPr>
                <w:sz w:val="24"/>
              </w:rPr>
              <w:t xml:space="preserve">Адрес</w:t>
            </w:r>
          </w:p>
        </w:tc>
        <w:tc>
          <w:tcPr>
            <w:tcW w:w="1757" w:type="dxa"/>
            <w:vMerge w:val="restart"/>
          </w:tcPr>
          <w:p>
            <w:pPr>
              <w:pStyle w:val="0"/>
              <w:jc w:val="center"/>
            </w:pPr>
            <w:r>
              <w:rPr>
                <w:sz w:val="24"/>
              </w:rPr>
              <w:t xml:space="preserve">Тип</w:t>
            </w:r>
          </w:p>
        </w:tc>
        <w:tc>
          <w:tcPr>
            <w:tcW w:w="1417" w:type="dxa"/>
            <w:vMerge w:val="restart"/>
          </w:tcPr>
          <w:p>
            <w:pPr>
              <w:pStyle w:val="0"/>
              <w:jc w:val="center"/>
            </w:pPr>
            <w:r>
              <w:rPr>
                <w:sz w:val="24"/>
              </w:rPr>
              <w:t xml:space="preserve">Техническое состояние</w:t>
            </w:r>
          </w:p>
        </w:tc>
        <w:tc>
          <w:tcPr>
            <w:tcW w:w="1417" w:type="dxa"/>
            <w:vMerge w:val="restart"/>
          </w:tcPr>
          <w:p>
            <w:pPr>
              <w:pStyle w:val="0"/>
              <w:jc w:val="center"/>
            </w:pPr>
            <w:r>
              <w:rPr>
                <w:sz w:val="24"/>
              </w:rPr>
              <w:t xml:space="preserve">Принадлежность к объектам культурного наследия (да/нет)</w:t>
            </w:r>
          </w:p>
        </w:tc>
        <w:tc>
          <w:tcPr>
            <w:tcW w:w="964" w:type="dxa"/>
            <w:vMerge w:val="restart"/>
          </w:tcPr>
          <w:p>
            <w:pPr>
              <w:pStyle w:val="0"/>
              <w:jc w:val="center"/>
            </w:pPr>
            <w:r>
              <w:rPr>
                <w:sz w:val="24"/>
              </w:rPr>
              <w:t xml:space="preserve">Год ввода в эксплуатацию</w:t>
            </w:r>
          </w:p>
        </w:tc>
        <w:tc>
          <w:tcPr>
            <w:tcW w:w="1304" w:type="dxa"/>
            <w:vMerge w:val="restart"/>
          </w:tcPr>
          <w:p>
            <w:pPr>
              <w:pStyle w:val="0"/>
              <w:jc w:val="center"/>
            </w:pPr>
            <w:r>
              <w:rPr>
                <w:sz w:val="24"/>
              </w:rPr>
              <w:t xml:space="preserve">Дата признания аварийным/ограниченно работоспособным</w:t>
            </w:r>
          </w:p>
        </w:tc>
        <w:tc>
          <w:tcPr>
            <w:gridSpan w:val="3"/>
            <w:tcW w:w="3401" w:type="dxa"/>
            <w:vMerge w:val="restart"/>
          </w:tcPr>
          <w:p>
            <w:pPr>
              <w:pStyle w:val="0"/>
              <w:jc w:val="center"/>
            </w:pPr>
            <w:r>
              <w:rPr>
                <w:sz w:val="24"/>
              </w:rPr>
              <w:t xml:space="preserve">Сведения о жилищном фонде, подлежащем расселению</w:t>
            </w:r>
          </w:p>
        </w:tc>
        <w:tc>
          <w:tcPr>
            <w:tcW w:w="1531" w:type="dxa"/>
            <w:vMerge w:val="restart"/>
          </w:tcPr>
          <w:p>
            <w:pPr>
              <w:pStyle w:val="0"/>
              <w:jc w:val="center"/>
            </w:pPr>
            <w:r>
              <w:rPr>
                <w:sz w:val="24"/>
              </w:rPr>
              <w:t xml:space="preserve">Планируемая дата окончания переселения граждан</w:t>
            </w:r>
          </w:p>
        </w:tc>
        <w:tc>
          <w:tcPr>
            <w:tcW w:w="1417" w:type="dxa"/>
            <w:vMerge w:val="restart"/>
          </w:tcPr>
          <w:p>
            <w:pPr>
              <w:pStyle w:val="0"/>
              <w:jc w:val="center"/>
            </w:pPr>
            <w:r>
              <w:rPr>
                <w:sz w:val="24"/>
              </w:rPr>
              <w:t xml:space="preserve">Площадь застройки дома</w:t>
            </w:r>
          </w:p>
        </w:tc>
        <w:tc>
          <w:tcPr>
            <w:gridSpan w:val="3"/>
            <w:tcW w:w="5897" w:type="dxa"/>
          </w:tcPr>
          <w:p>
            <w:pPr>
              <w:pStyle w:val="0"/>
              <w:jc w:val="center"/>
            </w:pPr>
            <w:r>
              <w:rPr>
                <w:sz w:val="24"/>
              </w:rPr>
              <w:t xml:space="preserve">Информация о формировании земельного участка под домом</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gridSpan w:val="3"/>
            <w:vMerge w:val="continue"/>
          </w:tcPr>
          <w:p/>
        </w:tc>
        <w:tc>
          <w:tcPr>
            <w:vMerge w:val="continue"/>
          </w:tcPr>
          <w:p/>
        </w:tc>
        <w:tc>
          <w:tcPr>
            <w:vMerge w:val="continue"/>
          </w:tcPr>
          <w:p/>
        </w:tc>
        <w:tc>
          <w:tcPr>
            <w:tcW w:w="1701" w:type="dxa"/>
          </w:tcPr>
          <w:p>
            <w:pPr>
              <w:pStyle w:val="0"/>
              <w:jc w:val="center"/>
            </w:pPr>
            <w:r>
              <w:rPr>
                <w:sz w:val="24"/>
              </w:rPr>
              <w:t xml:space="preserve">площадь земельного участка</w:t>
            </w:r>
          </w:p>
        </w:tc>
        <w:tc>
          <w:tcPr>
            <w:tcW w:w="2268" w:type="dxa"/>
            <w:vMerge w:val="restart"/>
          </w:tcPr>
          <w:p>
            <w:pPr>
              <w:pStyle w:val="0"/>
              <w:jc w:val="center"/>
            </w:pPr>
            <w:r>
              <w:rPr>
                <w:sz w:val="24"/>
              </w:rPr>
              <w:t xml:space="preserve">кадастровый номер земельного участка</w:t>
            </w:r>
          </w:p>
        </w:tc>
        <w:tc>
          <w:tcPr>
            <w:tcW w:w="1928" w:type="dxa"/>
            <w:vMerge w:val="restart"/>
          </w:tcPr>
          <w:p>
            <w:pPr>
              <w:pStyle w:val="0"/>
              <w:jc w:val="center"/>
            </w:pPr>
            <w:r>
              <w:rPr>
                <w:sz w:val="24"/>
              </w:rPr>
              <w:t xml:space="preserve">характеристика земельного участка (сформирован под одним домом, не сформирован)</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tcPr>
          <w:p>
            <w:pPr>
              <w:pStyle w:val="0"/>
              <w:jc w:val="center"/>
            </w:pPr>
            <w:r>
              <w:rPr>
                <w:sz w:val="24"/>
              </w:rPr>
              <w:t xml:space="preserve">год</w:t>
            </w:r>
          </w:p>
        </w:tc>
        <w:tc>
          <w:tcPr>
            <w:tcW w:w="1304" w:type="dxa"/>
          </w:tcPr>
          <w:p>
            <w:pPr>
              <w:pStyle w:val="0"/>
              <w:jc w:val="center"/>
            </w:pPr>
            <w:r>
              <w:rPr>
                <w:sz w:val="24"/>
              </w:rPr>
              <w:t xml:space="preserve">дата</w:t>
            </w:r>
          </w:p>
        </w:tc>
        <w:tc>
          <w:tcPr>
            <w:tcW w:w="1304" w:type="dxa"/>
          </w:tcPr>
          <w:p>
            <w:pPr>
              <w:pStyle w:val="0"/>
              <w:jc w:val="center"/>
            </w:pPr>
            <w:r>
              <w:rPr>
                <w:sz w:val="24"/>
              </w:rPr>
              <w:t xml:space="preserve">площадь, кв. м</w:t>
            </w:r>
          </w:p>
        </w:tc>
        <w:tc>
          <w:tcPr>
            <w:tcW w:w="1020" w:type="dxa"/>
          </w:tcPr>
          <w:p>
            <w:pPr>
              <w:pStyle w:val="0"/>
              <w:jc w:val="center"/>
            </w:pPr>
            <w:r>
              <w:rPr>
                <w:sz w:val="24"/>
              </w:rPr>
              <w:t xml:space="preserve">количество человек</w:t>
            </w:r>
          </w:p>
        </w:tc>
        <w:tc>
          <w:tcPr>
            <w:tcW w:w="1077" w:type="dxa"/>
          </w:tcPr>
          <w:p>
            <w:pPr>
              <w:pStyle w:val="0"/>
              <w:jc w:val="center"/>
            </w:pPr>
            <w:r>
              <w:rPr>
                <w:sz w:val="24"/>
              </w:rPr>
              <w:t xml:space="preserve">количество семей</w:t>
            </w:r>
          </w:p>
        </w:tc>
        <w:tc>
          <w:tcPr>
            <w:tcW w:w="1531" w:type="dxa"/>
          </w:tcPr>
          <w:p>
            <w:pPr>
              <w:pStyle w:val="0"/>
              <w:jc w:val="center"/>
            </w:pPr>
            <w:r>
              <w:rPr>
                <w:sz w:val="24"/>
              </w:rPr>
              <w:t xml:space="preserve">дата</w:t>
            </w:r>
          </w:p>
        </w:tc>
        <w:tc>
          <w:tcPr>
            <w:tcW w:w="1417" w:type="dxa"/>
          </w:tcPr>
          <w:p>
            <w:pPr>
              <w:pStyle w:val="0"/>
              <w:jc w:val="center"/>
            </w:pPr>
            <w:r>
              <w:rPr>
                <w:sz w:val="24"/>
              </w:rPr>
              <w:t xml:space="preserve">кв. м</w:t>
            </w:r>
          </w:p>
        </w:tc>
        <w:tc>
          <w:tcPr>
            <w:tcW w:w="1701" w:type="dxa"/>
          </w:tcPr>
          <w:p>
            <w:pPr>
              <w:pStyle w:val="0"/>
              <w:jc w:val="center"/>
            </w:pPr>
            <w:r>
              <w:rPr>
                <w:sz w:val="24"/>
              </w:rPr>
              <w:t xml:space="preserve">кв. м</w:t>
            </w:r>
          </w:p>
        </w:tc>
        <w:tc>
          <w:tcPr>
            <w:vMerge w:val="continue"/>
          </w:tcPr>
          <w:p/>
        </w:tc>
        <w:tc>
          <w:tcPr>
            <w:vMerge w:val="continue"/>
          </w:tcPr>
          <w:p/>
        </w:tc>
      </w:tr>
      <w:tr>
        <w:tc>
          <w:tcPr>
            <w:tcW w:w="567" w:type="dxa"/>
          </w:tcPr>
          <w:p>
            <w:pPr>
              <w:pStyle w:val="0"/>
              <w:jc w:val="center"/>
            </w:pPr>
            <w:r>
              <w:rPr>
                <w:sz w:val="24"/>
              </w:rPr>
              <w:t xml:space="preserve">1</w:t>
            </w:r>
          </w:p>
        </w:tc>
        <w:tc>
          <w:tcPr>
            <w:tcW w:w="2551" w:type="dxa"/>
          </w:tcPr>
          <w:p>
            <w:pPr>
              <w:pStyle w:val="0"/>
              <w:jc w:val="center"/>
            </w:pPr>
            <w:r>
              <w:rPr>
                <w:sz w:val="24"/>
              </w:rPr>
              <w:t xml:space="preserve">2</w:t>
            </w:r>
          </w:p>
        </w:tc>
        <w:tc>
          <w:tcPr>
            <w:tcW w:w="2665" w:type="dxa"/>
          </w:tcPr>
          <w:p>
            <w:pPr>
              <w:pStyle w:val="0"/>
              <w:jc w:val="center"/>
            </w:pPr>
            <w:r>
              <w:rPr>
                <w:sz w:val="24"/>
              </w:rPr>
              <w:t xml:space="preserve">3</w:t>
            </w:r>
          </w:p>
        </w:tc>
        <w:tc>
          <w:tcPr>
            <w:tcW w:w="1757" w:type="dxa"/>
          </w:tcPr>
          <w:p>
            <w:pPr>
              <w:pStyle w:val="0"/>
              <w:jc w:val="center"/>
            </w:pPr>
            <w:r>
              <w:rPr>
                <w:sz w:val="24"/>
              </w:rPr>
              <w:t xml:space="preserve">4</w:t>
            </w:r>
          </w:p>
        </w:tc>
        <w:tc>
          <w:tcPr>
            <w:tcW w:w="1417" w:type="dxa"/>
          </w:tcPr>
          <w:p>
            <w:pPr>
              <w:pStyle w:val="0"/>
              <w:jc w:val="center"/>
            </w:pPr>
            <w:r>
              <w:rPr>
                <w:sz w:val="24"/>
              </w:rPr>
              <w:t xml:space="preserve">5</w:t>
            </w:r>
          </w:p>
        </w:tc>
        <w:tc>
          <w:tcPr>
            <w:tcW w:w="1417" w:type="dxa"/>
          </w:tcPr>
          <w:p>
            <w:pPr>
              <w:pStyle w:val="0"/>
              <w:jc w:val="center"/>
            </w:pPr>
            <w:r>
              <w:rPr>
                <w:sz w:val="24"/>
              </w:rPr>
              <w:t xml:space="preserve">6</w:t>
            </w:r>
          </w:p>
        </w:tc>
        <w:tc>
          <w:tcPr>
            <w:tcW w:w="964" w:type="dxa"/>
          </w:tcPr>
          <w:p>
            <w:pPr>
              <w:pStyle w:val="0"/>
              <w:jc w:val="center"/>
            </w:pPr>
            <w:r>
              <w:rPr>
                <w:sz w:val="24"/>
              </w:rPr>
              <w:t xml:space="preserve">7</w:t>
            </w:r>
          </w:p>
        </w:tc>
        <w:tc>
          <w:tcPr>
            <w:tcW w:w="1304" w:type="dxa"/>
          </w:tcPr>
          <w:p>
            <w:pPr>
              <w:pStyle w:val="0"/>
              <w:jc w:val="center"/>
            </w:pPr>
            <w:r>
              <w:rPr>
                <w:sz w:val="24"/>
              </w:rPr>
              <w:t xml:space="preserve">8</w:t>
            </w:r>
          </w:p>
        </w:tc>
        <w:tc>
          <w:tcPr>
            <w:tcW w:w="1304" w:type="dxa"/>
          </w:tcPr>
          <w:p>
            <w:pPr>
              <w:pStyle w:val="0"/>
              <w:jc w:val="center"/>
            </w:pPr>
            <w:r>
              <w:rPr>
                <w:sz w:val="24"/>
              </w:rPr>
              <w:t xml:space="preserve">9</w:t>
            </w:r>
          </w:p>
        </w:tc>
        <w:tc>
          <w:tcPr>
            <w:tcW w:w="1020" w:type="dxa"/>
          </w:tcPr>
          <w:p>
            <w:pPr>
              <w:pStyle w:val="0"/>
              <w:jc w:val="center"/>
            </w:pPr>
            <w:r>
              <w:rPr>
                <w:sz w:val="24"/>
              </w:rPr>
              <w:t xml:space="preserve">10</w:t>
            </w:r>
          </w:p>
        </w:tc>
        <w:tc>
          <w:tcPr>
            <w:tcW w:w="1077" w:type="dxa"/>
          </w:tcPr>
          <w:p>
            <w:pPr>
              <w:pStyle w:val="0"/>
              <w:jc w:val="center"/>
            </w:pPr>
            <w:r>
              <w:rPr>
                <w:sz w:val="24"/>
              </w:rPr>
              <w:t xml:space="preserve">11</w:t>
            </w:r>
          </w:p>
        </w:tc>
        <w:tc>
          <w:tcPr>
            <w:tcW w:w="1531" w:type="dxa"/>
          </w:tcPr>
          <w:p>
            <w:pPr>
              <w:pStyle w:val="0"/>
              <w:jc w:val="center"/>
            </w:pPr>
            <w:r>
              <w:rPr>
                <w:sz w:val="24"/>
              </w:rPr>
              <w:t xml:space="preserve">12</w:t>
            </w:r>
          </w:p>
        </w:tc>
        <w:tc>
          <w:tcPr>
            <w:tcW w:w="1417" w:type="dxa"/>
          </w:tcPr>
          <w:p>
            <w:pPr>
              <w:pStyle w:val="0"/>
              <w:jc w:val="center"/>
            </w:pPr>
            <w:r>
              <w:rPr>
                <w:sz w:val="24"/>
              </w:rPr>
              <w:t xml:space="preserve">13</w:t>
            </w:r>
          </w:p>
        </w:tc>
        <w:tc>
          <w:tcPr>
            <w:tcW w:w="1701" w:type="dxa"/>
          </w:tcPr>
          <w:p>
            <w:pPr>
              <w:pStyle w:val="0"/>
              <w:jc w:val="center"/>
            </w:pPr>
            <w:r>
              <w:rPr>
                <w:sz w:val="24"/>
              </w:rPr>
              <w:t xml:space="preserve">14</w:t>
            </w:r>
          </w:p>
        </w:tc>
        <w:tc>
          <w:tcPr>
            <w:tcW w:w="2268" w:type="dxa"/>
          </w:tcPr>
          <w:p>
            <w:pPr>
              <w:pStyle w:val="0"/>
              <w:jc w:val="center"/>
            </w:pPr>
            <w:r>
              <w:rPr>
                <w:sz w:val="24"/>
              </w:rPr>
              <w:t xml:space="preserve">15</w:t>
            </w:r>
          </w:p>
        </w:tc>
        <w:tc>
          <w:tcPr>
            <w:tcW w:w="1928" w:type="dxa"/>
          </w:tcPr>
          <w:p>
            <w:pPr>
              <w:pStyle w:val="0"/>
              <w:jc w:val="center"/>
            </w:pPr>
            <w:r>
              <w:rPr>
                <w:sz w:val="24"/>
              </w:rPr>
              <w:t xml:space="preserve">16</w:t>
            </w:r>
          </w:p>
        </w:tc>
      </w:tr>
      <w:tr>
        <w:tc>
          <w:tcPr>
            <w:gridSpan w:val="3"/>
            <w:tcW w:w="5783" w:type="dxa"/>
          </w:tcPr>
          <w:p>
            <w:pPr>
              <w:pStyle w:val="0"/>
              <w:jc w:val="both"/>
            </w:pPr>
            <w:r>
              <w:rPr>
                <w:sz w:val="24"/>
              </w:rPr>
              <w:t xml:space="preserve">Всего подлежит расселению</w:t>
            </w:r>
          </w:p>
        </w:tc>
        <w:tc>
          <w:tcPr>
            <w:tcW w:w="1757"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964" w:type="dxa"/>
          </w:tcPr>
          <w:p>
            <w:pPr>
              <w:pStyle w:val="0"/>
              <w:jc w:val="center"/>
            </w:pPr>
            <w:r>
              <w:rPr>
                <w:sz w:val="24"/>
              </w:rPr>
              <w:t xml:space="preserve">X</w:t>
            </w:r>
          </w:p>
        </w:tc>
        <w:tc>
          <w:tcPr>
            <w:tcW w:w="1304" w:type="dxa"/>
          </w:tcPr>
          <w:p>
            <w:pPr>
              <w:pStyle w:val="0"/>
              <w:jc w:val="center"/>
            </w:pPr>
            <w:r>
              <w:rPr>
                <w:sz w:val="24"/>
              </w:rPr>
              <w:t xml:space="preserve">X</w:t>
            </w:r>
          </w:p>
        </w:tc>
        <w:tc>
          <w:tcPr>
            <w:tcW w:w="1304" w:type="dxa"/>
          </w:tcPr>
          <w:p>
            <w:pPr>
              <w:pStyle w:val="0"/>
              <w:jc w:val="center"/>
            </w:pPr>
            <w:r>
              <w:rPr>
                <w:sz w:val="24"/>
              </w:rPr>
              <w:t xml:space="preserve">9836,76</w:t>
            </w:r>
          </w:p>
        </w:tc>
        <w:tc>
          <w:tcPr>
            <w:tcW w:w="1020" w:type="dxa"/>
          </w:tcPr>
          <w:p>
            <w:pPr>
              <w:pStyle w:val="0"/>
              <w:jc w:val="center"/>
            </w:pPr>
            <w:r>
              <w:rPr>
                <w:sz w:val="24"/>
              </w:rPr>
              <w:t xml:space="preserve">586</w:t>
            </w:r>
          </w:p>
        </w:tc>
        <w:tc>
          <w:tcPr>
            <w:tcW w:w="1077" w:type="dxa"/>
          </w:tcPr>
          <w:p>
            <w:pPr>
              <w:pStyle w:val="0"/>
              <w:jc w:val="center"/>
            </w:pPr>
            <w:r>
              <w:rPr>
                <w:sz w:val="24"/>
              </w:rPr>
              <w:t xml:space="preserve">247</w:t>
            </w:r>
          </w:p>
        </w:tc>
        <w:tc>
          <w:tcPr>
            <w:tcW w:w="1531" w:type="dxa"/>
          </w:tcPr>
          <w:p>
            <w:pPr>
              <w:pStyle w:val="0"/>
              <w:jc w:val="center"/>
            </w:pPr>
            <w:r>
              <w:rPr>
                <w:sz w:val="24"/>
              </w:rPr>
              <w:t xml:space="preserve">X</w:t>
            </w:r>
          </w:p>
        </w:tc>
        <w:tc>
          <w:tcPr>
            <w:tcW w:w="1417" w:type="dxa"/>
          </w:tcPr>
          <w:p>
            <w:pPr>
              <w:pStyle w:val="0"/>
              <w:jc w:val="center"/>
            </w:pPr>
            <w:r>
              <w:rPr>
                <w:sz w:val="24"/>
              </w:rPr>
              <w:t xml:space="preserve">8277,58</w:t>
            </w:r>
          </w:p>
        </w:tc>
        <w:tc>
          <w:tcPr>
            <w:tcW w:w="1701" w:type="dxa"/>
          </w:tcPr>
          <w:p>
            <w:pPr>
              <w:pStyle w:val="0"/>
              <w:jc w:val="center"/>
            </w:pPr>
            <w:r>
              <w:rPr>
                <w:sz w:val="24"/>
              </w:rPr>
              <w:t xml:space="preserve">42162,00</w:t>
            </w:r>
          </w:p>
        </w:tc>
        <w:tc>
          <w:tcPr>
            <w:tcW w:w="2268" w:type="dxa"/>
          </w:tcPr>
          <w:p>
            <w:pPr>
              <w:pStyle w:val="0"/>
              <w:jc w:val="center"/>
            </w:pPr>
            <w:r>
              <w:rPr>
                <w:sz w:val="24"/>
              </w:rPr>
              <w:t xml:space="preserve">X</w:t>
            </w:r>
          </w:p>
        </w:tc>
        <w:tc>
          <w:tcPr>
            <w:tcW w:w="1928" w:type="dxa"/>
          </w:tcPr>
          <w:p>
            <w:pPr>
              <w:pStyle w:val="0"/>
              <w:jc w:val="center"/>
            </w:pPr>
            <w:r>
              <w:rPr>
                <w:sz w:val="24"/>
              </w:rPr>
              <w:t xml:space="preserve">X</w:t>
            </w:r>
          </w:p>
        </w:tc>
      </w:tr>
      <w:tr>
        <w:tc>
          <w:tcPr>
            <w:gridSpan w:val="3"/>
            <w:tcW w:w="5783" w:type="dxa"/>
          </w:tcPr>
          <w:p>
            <w:pPr>
              <w:pStyle w:val="0"/>
              <w:jc w:val="both"/>
            </w:pPr>
            <w:r>
              <w:rPr>
                <w:sz w:val="24"/>
              </w:rPr>
              <w:t xml:space="preserve">1. Перечень аварийных многоквартирных домов, в том числе:</w:t>
            </w:r>
          </w:p>
        </w:tc>
        <w:tc>
          <w:tcPr>
            <w:tcW w:w="1757"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964" w:type="dxa"/>
          </w:tcPr>
          <w:p>
            <w:pPr>
              <w:pStyle w:val="0"/>
              <w:jc w:val="center"/>
            </w:pPr>
            <w:r>
              <w:rPr>
                <w:sz w:val="24"/>
              </w:rPr>
              <w:t xml:space="preserve">X</w:t>
            </w:r>
          </w:p>
        </w:tc>
        <w:tc>
          <w:tcPr>
            <w:tcW w:w="1304" w:type="dxa"/>
          </w:tcPr>
          <w:p>
            <w:pPr>
              <w:pStyle w:val="0"/>
              <w:jc w:val="center"/>
            </w:pPr>
            <w:r>
              <w:rPr>
                <w:sz w:val="24"/>
              </w:rPr>
              <w:t xml:space="preserve">X</w:t>
            </w:r>
          </w:p>
        </w:tc>
        <w:tc>
          <w:tcPr>
            <w:tcW w:w="1304" w:type="dxa"/>
          </w:tcPr>
          <w:p>
            <w:pPr>
              <w:pStyle w:val="0"/>
              <w:jc w:val="center"/>
            </w:pPr>
            <w:r>
              <w:rPr>
                <w:sz w:val="24"/>
              </w:rPr>
              <w:t xml:space="preserve">9836,76</w:t>
            </w:r>
          </w:p>
        </w:tc>
        <w:tc>
          <w:tcPr>
            <w:tcW w:w="1020" w:type="dxa"/>
          </w:tcPr>
          <w:p>
            <w:pPr>
              <w:pStyle w:val="0"/>
              <w:jc w:val="center"/>
            </w:pPr>
            <w:r>
              <w:rPr>
                <w:sz w:val="24"/>
              </w:rPr>
              <w:t xml:space="preserve">586</w:t>
            </w:r>
          </w:p>
        </w:tc>
        <w:tc>
          <w:tcPr>
            <w:tcW w:w="1077" w:type="dxa"/>
          </w:tcPr>
          <w:p>
            <w:pPr>
              <w:pStyle w:val="0"/>
              <w:jc w:val="center"/>
            </w:pPr>
            <w:r>
              <w:rPr>
                <w:sz w:val="24"/>
              </w:rPr>
              <w:t xml:space="preserve">247</w:t>
            </w:r>
          </w:p>
        </w:tc>
        <w:tc>
          <w:tcPr>
            <w:tcW w:w="1531" w:type="dxa"/>
          </w:tcPr>
          <w:p>
            <w:pPr>
              <w:pStyle w:val="0"/>
              <w:jc w:val="center"/>
            </w:pPr>
            <w:r>
              <w:rPr>
                <w:sz w:val="24"/>
              </w:rPr>
              <w:t xml:space="preserve">X</w:t>
            </w:r>
          </w:p>
        </w:tc>
        <w:tc>
          <w:tcPr>
            <w:tcW w:w="1417" w:type="dxa"/>
          </w:tcPr>
          <w:p>
            <w:pPr>
              <w:pStyle w:val="0"/>
              <w:jc w:val="center"/>
            </w:pPr>
            <w:r>
              <w:rPr>
                <w:sz w:val="24"/>
              </w:rPr>
              <w:t xml:space="preserve">8277,58</w:t>
            </w:r>
          </w:p>
        </w:tc>
        <w:tc>
          <w:tcPr>
            <w:tcW w:w="1701" w:type="dxa"/>
          </w:tcPr>
          <w:p>
            <w:pPr>
              <w:pStyle w:val="0"/>
              <w:jc w:val="center"/>
            </w:pPr>
            <w:r>
              <w:rPr>
                <w:sz w:val="24"/>
              </w:rPr>
              <w:t xml:space="preserve">42162,00</w:t>
            </w:r>
          </w:p>
        </w:tc>
        <w:tc>
          <w:tcPr>
            <w:tcW w:w="2268" w:type="dxa"/>
          </w:tcPr>
          <w:p>
            <w:pPr>
              <w:pStyle w:val="0"/>
              <w:jc w:val="center"/>
            </w:pPr>
            <w:r>
              <w:rPr>
                <w:sz w:val="24"/>
              </w:rPr>
              <w:t xml:space="preserve">X</w:t>
            </w:r>
          </w:p>
        </w:tc>
        <w:tc>
          <w:tcPr>
            <w:tcW w:w="1928" w:type="dxa"/>
          </w:tcPr>
          <w:p>
            <w:pPr>
              <w:pStyle w:val="0"/>
              <w:jc w:val="center"/>
            </w:pPr>
            <w:r>
              <w:rPr>
                <w:sz w:val="24"/>
              </w:rPr>
              <w:t xml:space="preserve">X</w:t>
            </w:r>
          </w:p>
        </w:tc>
      </w:tr>
      <w:tr>
        <w:tc>
          <w:tcPr>
            <w:gridSpan w:val="3"/>
            <w:tcW w:w="5783" w:type="dxa"/>
          </w:tcPr>
          <w:p>
            <w:pPr>
              <w:pStyle w:val="0"/>
              <w:jc w:val="both"/>
            </w:pPr>
            <w:r>
              <w:rPr>
                <w:sz w:val="24"/>
              </w:rPr>
              <w:t xml:space="preserve">расселение которых осуществляется с участием средств Фонда</w:t>
            </w:r>
          </w:p>
        </w:tc>
        <w:tc>
          <w:tcPr>
            <w:tcW w:w="1757"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964" w:type="dxa"/>
          </w:tcPr>
          <w:p>
            <w:pPr>
              <w:pStyle w:val="0"/>
              <w:jc w:val="center"/>
            </w:pPr>
            <w:r>
              <w:rPr>
                <w:sz w:val="24"/>
              </w:rPr>
              <w:t xml:space="preserve">X</w:t>
            </w:r>
          </w:p>
        </w:tc>
        <w:tc>
          <w:tcPr>
            <w:tcW w:w="1304" w:type="dxa"/>
          </w:tcPr>
          <w:p>
            <w:pPr>
              <w:pStyle w:val="0"/>
              <w:jc w:val="center"/>
            </w:pPr>
            <w:r>
              <w:rPr>
                <w:sz w:val="24"/>
              </w:rPr>
              <w:t xml:space="preserve">X</w:t>
            </w:r>
          </w:p>
        </w:tc>
        <w:tc>
          <w:tcPr>
            <w:tcW w:w="1304" w:type="dxa"/>
          </w:tcPr>
          <w:p>
            <w:pPr>
              <w:pStyle w:val="0"/>
              <w:jc w:val="center"/>
            </w:pPr>
            <w:r>
              <w:rPr>
                <w:sz w:val="24"/>
              </w:rPr>
              <w:t xml:space="preserve">9836,76</w:t>
            </w:r>
          </w:p>
        </w:tc>
        <w:tc>
          <w:tcPr>
            <w:tcW w:w="1020" w:type="dxa"/>
          </w:tcPr>
          <w:p>
            <w:pPr>
              <w:pStyle w:val="0"/>
              <w:jc w:val="center"/>
            </w:pPr>
            <w:r>
              <w:rPr>
                <w:sz w:val="24"/>
              </w:rPr>
              <w:t xml:space="preserve">586</w:t>
            </w:r>
          </w:p>
        </w:tc>
        <w:tc>
          <w:tcPr>
            <w:tcW w:w="1077" w:type="dxa"/>
          </w:tcPr>
          <w:p>
            <w:pPr>
              <w:pStyle w:val="0"/>
              <w:jc w:val="center"/>
            </w:pPr>
            <w:r>
              <w:rPr>
                <w:sz w:val="24"/>
              </w:rPr>
              <w:t xml:space="preserve">247</w:t>
            </w:r>
          </w:p>
        </w:tc>
        <w:tc>
          <w:tcPr>
            <w:tcW w:w="1531" w:type="dxa"/>
          </w:tcPr>
          <w:p>
            <w:pPr>
              <w:pStyle w:val="0"/>
              <w:jc w:val="center"/>
            </w:pPr>
            <w:r>
              <w:rPr>
                <w:sz w:val="24"/>
              </w:rPr>
              <w:t xml:space="preserve">X</w:t>
            </w:r>
          </w:p>
        </w:tc>
        <w:tc>
          <w:tcPr>
            <w:tcW w:w="1417" w:type="dxa"/>
          </w:tcPr>
          <w:p>
            <w:pPr>
              <w:pStyle w:val="0"/>
              <w:jc w:val="center"/>
            </w:pPr>
            <w:r>
              <w:rPr>
                <w:sz w:val="24"/>
              </w:rPr>
              <w:t xml:space="preserve">8277,58</w:t>
            </w:r>
          </w:p>
        </w:tc>
        <w:tc>
          <w:tcPr>
            <w:tcW w:w="1701" w:type="dxa"/>
          </w:tcPr>
          <w:p>
            <w:pPr>
              <w:pStyle w:val="0"/>
              <w:jc w:val="center"/>
            </w:pPr>
            <w:r>
              <w:rPr>
                <w:sz w:val="24"/>
              </w:rPr>
              <w:t xml:space="preserve">42162,00</w:t>
            </w:r>
          </w:p>
        </w:tc>
        <w:tc>
          <w:tcPr>
            <w:tcW w:w="2268" w:type="dxa"/>
          </w:tcPr>
          <w:p>
            <w:pPr>
              <w:pStyle w:val="0"/>
              <w:jc w:val="center"/>
            </w:pPr>
            <w:r>
              <w:rPr>
                <w:sz w:val="24"/>
              </w:rPr>
              <w:t xml:space="preserve">X</w:t>
            </w:r>
          </w:p>
        </w:tc>
        <w:tc>
          <w:tcPr>
            <w:tcW w:w="1928" w:type="dxa"/>
          </w:tcPr>
          <w:p>
            <w:pPr>
              <w:pStyle w:val="0"/>
              <w:jc w:val="center"/>
            </w:pPr>
            <w:r>
              <w:rPr>
                <w:sz w:val="24"/>
              </w:rPr>
              <w:t xml:space="preserve">X</w:t>
            </w:r>
          </w:p>
        </w:tc>
      </w:tr>
      <w:tr>
        <w:tc>
          <w:tcPr>
            <w:gridSpan w:val="3"/>
            <w:tcW w:w="5783" w:type="dxa"/>
          </w:tcPr>
          <w:p>
            <w:pPr>
              <w:pStyle w:val="0"/>
              <w:jc w:val="both"/>
            </w:pPr>
            <w:r>
              <w:rPr>
                <w:sz w:val="24"/>
              </w:rPr>
              <w:t xml:space="preserve">Итого по городскому округу Иваново</w:t>
            </w:r>
          </w:p>
        </w:tc>
        <w:tc>
          <w:tcPr>
            <w:tcW w:w="1757"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964" w:type="dxa"/>
          </w:tcPr>
          <w:p>
            <w:pPr>
              <w:pStyle w:val="0"/>
              <w:jc w:val="center"/>
            </w:pPr>
            <w:r>
              <w:rPr>
                <w:sz w:val="24"/>
              </w:rPr>
              <w:t xml:space="preserve">X</w:t>
            </w:r>
          </w:p>
        </w:tc>
        <w:tc>
          <w:tcPr>
            <w:tcW w:w="1304" w:type="dxa"/>
          </w:tcPr>
          <w:p>
            <w:pPr>
              <w:pStyle w:val="0"/>
              <w:jc w:val="center"/>
            </w:pPr>
            <w:r>
              <w:rPr>
                <w:sz w:val="24"/>
              </w:rPr>
              <w:t xml:space="preserve">X</w:t>
            </w:r>
          </w:p>
        </w:tc>
        <w:tc>
          <w:tcPr>
            <w:tcW w:w="1304" w:type="dxa"/>
          </w:tcPr>
          <w:p>
            <w:pPr>
              <w:pStyle w:val="0"/>
              <w:jc w:val="center"/>
            </w:pPr>
            <w:r>
              <w:rPr>
                <w:sz w:val="24"/>
              </w:rPr>
              <w:t xml:space="preserve">4883,60</w:t>
            </w:r>
          </w:p>
        </w:tc>
        <w:tc>
          <w:tcPr>
            <w:tcW w:w="1020" w:type="dxa"/>
          </w:tcPr>
          <w:p>
            <w:pPr>
              <w:pStyle w:val="0"/>
              <w:jc w:val="center"/>
            </w:pPr>
            <w:r>
              <w:rPr>
                <w:sz w:val="24"/>
              </w:rPr>
              <w:t xml:space="preserve">283</w:t>
            </w:r>
          </w:p>
        </w:tc>
        <w:tc>
          <w:tcPr>
            <w:tcW w:w="1077" w:type="dxa"/>
          </w:tcPr>
          <w:p>
            <w:pPr>
              <w:pStyle w:val="0"/>
              <w:jc w:val="center"/>
            </w:pPr>
            <w:r>
              <w:rPr>
                <w:sz w:val="24"/>
              </w:rPr>
              <w:t xml:space="preserve">118</w:t>
            </w:r>
          </w:p>
        </w:tc>
        <w:tc>
          <w:tcPr>
            <w:tcW w:w="1531" w:type="dxa"/>
          </w:tcPr>
          <w:p>
            <w:pPr>
              <w:pStyle w:val="0"/>
              <w:jc w:val="center"/>
            </w:pPr>
            <w:r>
              <w:rPr>
                <w:sz w:val="24"/>
              </w:rPr>
              <w:t xml:space="preserve">X</w:t>
            </w:r>
          </w:p>
        </w:tc>
        <w:tc>
          <w:tcPr>
            <w:tcW w:w="1417" w:type="dxa"/>
          </w:tcPr>
          <w:p>
            <w:pPr>
              <w:pStyle w:val="0"/>
              <w:jc w:val="center"/>
            </w:pPr>
            <w:r>
              <w:rPr>
                <w:sz w:val="24"/>
              </w:rPr>
              <w:t xml:space="preserve">3120,70</w:t>
            </w:r>
          </w:p>
        </w:tc>
        <w:tc>
          <w:tcPr>
            <w:tcW w:w="1701" w:type="dxa"/>
          </w:tcPr>
          <w:p>
            <w:pPr>
              <w:pStyle w:val="0"/>
              <w:jc w:val="center"/>
            </w:pPr>
            <w:r>
              <w:rPr>
                <w:sz w:val="24"/>
              </w:rPr>
              <w:t xml:space="preserve">14268,00</w:t>
            </w:r>
          </w:p>
        </w:tc>
        <w:tc>
          <w:tcPr>
            <w:tcW w:w="2268" w:type="dxa"/>
          </w:tcPr>
          <w:p>
            <w:pPr>
              <w:pStyle w:val="0"/>
              <w:jc w:val="center"/>
            </w:pPr>
            <w:r>
              <w:rPr>
                <w:sz w:val="24"/>
              </w:rPr>
              <w:t xml:space="preserve">X</w:t>
            </w:r>
          </w:p>
        </w:tc>
        <w:tc>
          <w:tcPr>
            <w:tcW w:w="1928" w:type="dxa"/>
          </w:tcPr>
          <w:p>
            <w:pPr>
              <w:pStyle w:val="0"/>
              <w:jc w:val="center"/>
            </w:pPr>
            <w:r>
              <w:rPr>
                <w:sz w:val="24"/>
              </w:rPr>
              <w:t xml:space="preserve">X</w:t>
            </w:r>
          </w:p>
        </w:tc>
      </w:tr>
      <w:tr>
        <w:tc>
          <w:tcPr>
            <w:tcW w:w="567" w:type="dxa"/>
          </w:tcPr>
          <w:p>
            <w:pPr>
              <w:pStyle w:val="0"/>
              <w:jc w:val="both"/>
            </w:pPr>
            <w:r>
              <w:rPr>
                <w:sz w:val="24"/>
              </w:rPr>
              <w:t xml:space="preserve">1</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10-я Сосневская, д. 99</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1951</w:t>
            </w:r>
          </w:p>
        </w:tc>
        <w:tc>
          <w:tcPr>
            <w:tcW w:w="1304" w:type="dxa"/>
          </w:tcPr>
          <w:p>
            <w:pPr>
              <w:pStyle w:val="0"/>
              <w:jc w:val="center"/>
            </w:pPr>
            <w:r>
              <w:rPr>
                <w:sz w:val="24"/>
              </w:rPr>
              <w:t xml:space="preserve">06.12.2018</w:t>
            </w:r>
          </w:p>
        </w:tc>
        <w:tc>
          <w:tcPr>
            <w:tcW w:w="1304" w:type="dxa"/>
          </w:tcPr>
          <w:p>
            <w:pPr>
              <w:pStyle w:val="0"/>
              <w:jc w:val="center"/>
            </w:pPr>
            <w:r>
              <w:rPr>
                <w:sz w:val="24"/>
              </w:rPr>
              <w:t xml:space="preserve">246,50</w:t>
            </w:r>
          </w:p>
        </w:tc>
        <w:tc>
          <w:tcPr>
            <w:tcW w:w="1020" w:type="dxa"/>
          </w:tcPr>
          <w:p>
            <w:pPr>
              <w:pStyle w:val="0"/>
              <w:jc w:val="center"/>
            </w:pPr>
            <w:r>
              <w:rPr>
                <w:sz w:val="24"/>
              </w:rPr>
              <w:t xml:space="preserve">16</w:t>
            </w:r>
          </w:p>
        </w:tc>
        <w:tc>
          <w:tcPr>
            <w:tcW w:w="1077" w:type="dxa"/>
          </w:tcPr>
          <w:p>
            <w:pPr>
              <w:pStyle w:val="0"/>
              <w:jc w:val="center"/>
            </w:pPr>
            <w:r>
              <w:rPr>
                <w:sz w:val="24"/>
              </w:rPr>
              <w:t xml:space="preserve">5</w:t>
            </w:r>
          </w:p>
        </w:tc>
        <w:tc>
          <w:tcPr>
            <w:tcW w:w="1531" w:type="dxa"/>
          </w:tcPr>
          <w:p>
            <w:pPr>
              <w:pStyle w:val="0"/>
              <w:jc w:val="center"/>
            </w:pPr>
            <w:r>
              <w:rPr>
                <w:sz w:val="24"/>
              </w:rPr>
              <w:t xml:space="preserve">31.12.2027</w:t>
            </w:r>
          </w:p>
        </w:tc>
        <w:tc>
          <w:tcPr>
            <w:tcW w:w="1417" w:type="dxa"/>
          </w:tcPr>
          <w:p>
            <w:pPr>
              <w:pStyle w:val="0"/>
              <w:jc w:val="center"/>
            </w:pPr>
            <w:r>
              <w:rPr>
                <w:sz w:val="24"/>
              </w:rPr>
              <w:t xml:space="preserve">202,85</w:t>
            </w:r>
          </w:p>
        </w:tc>
        <w:tc>
          <w:tcPr>
            <w:tcW w:w="1701" w:type="dxa"/>
          </w:tcPr>
          <w:p>
            <w:pPr>
              <w:pStyle w:val="0"/>
              <w:jc w:val="center"/>
            </w:pPr>
            <w:r>
              <w:rPr>
                <w:sz w:val="24"/>
              </w:rPr>
              <w:t xml:space="preserve">792,00</w:t>
            </w:r>
          </w:p>
        </w:tc>
        <w:tc>
          <w:tcPr>
            <w:tcW w:w="2268" w:type="dxa"/>
          </w:tcPr>
          <w:p>
            <w:pPr>
              <w:pStyle w:val="0"/>
              <w:jc w:val="center"/>
            </w:pPr>
            <w:r>
              <w:rPr>
                <w:sz w:val="24"/>
              </w:rPr>
              <w:t xml:space="preserve">37:24:030632:81</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2</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11-я Сосневская, д. 72</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1957</w:t>
            </w:r>
          </w:p>
        </w:tc>
        <w:tc>
          <w:tcPr>
            <w:tcW w:w="1304" w:type="dxa"/>
          </w:tcPr>
          <w:p>
            <w:pPr>
              <w:pStyle w:val="0"/>
              <w:jc w:val="center"/>
            </w:pPr>
            <w:r>
              <w:rPr>
                <w:sz w:val="24"/>
              </w:rPr>
              <w:t xml:space="preserve">15.08.2018</w:t>
            </w:r>
          </w:p>
        </w:tc>
        <w:tc>
          <w:tcPr>
            <w:tcW w:w="1304" w:type="dxa"/>
          </w:tcPr>
          <w:p>
            <w:pPr>
              <w:pStyle w:val="0"/>
              <w:jc w:val="center"/>
            </w:pPr>
            <w:r>
              <w:rPr>
                <w:sz w:val="24"/>
              </w:rPr>
              <w:t xml:space="preserve">174,50</w:t>
            </w:r>
          </w:p>
        </w:tc>
        <w:tc>
          <w:tcPr>
            <w:tcW w:w="1020" w:type="dxa"/>
          </w:tcPr>
          <w:p>
            <w:pPr>
              <w:pStyle w:val="0"/>
              <w:jc w:val="center"/>
            </w:pPr>
            <w:r>
              <w:rPr>
                <w:sz w:val="24"/>
              </w:rPr>
              <w:t xml:space="preserve">8</w:t>
            </w:r>
          </w:p>
        </w:tc>
        <w:tc>
          <w:tcPr>
            <w:tcW w:w="1077" w:type="dxa"/>
          </w:tcPr>
          <w:p>
            <w:pPr>
              <w:pStyle w:val="0"/>
              <w:jc w:val="center"/>
            </w:pPr>
            <w:r>
              <w:rPr>
                <w:sz w:val="24"/>
              </w:rPr>
              <w:t xml:space="preserve">6</w:t>
            </w:r>
          </w:p>
        </w:tc>
        <w:tc>
          <w:tcPr>
            <w:tcW w:w="1531" w:type="dxa"/>
          </w:tcPr>
          <w:p>
            <w:pPr>
              <w:pStyle w:val="0"/>
              <w:jc w:val="center"/>
            </w:pPr>
            <w:r>
              <w:rPr>
                <w:sz w:val="24"/>
              </w:rPr>
              <w:t xml:space="preserve">31.12.2026</w:t>
            </w:r>
          </w:p>
        </w:tc>
        <w:tc>
          <w:tcPr>
            <w:tcW w:w="1417" w:type="dxa"/>
          </w:tcPr>
          <w:p>
            <w:pPr>
              <w:pStyle w:val="0"/>
              <w:jc w:val="center"/>
            </w:pPr>
            <w:r>
              <w:rPr>
                <w:sz w:val="24"/>
              </w:rPr>
              <w:t xml:space="preserve">379,75</w:t>
            </w:r>
          </w:p>
        </w:tc>
        <w:tc>
          <w:tcPr>
            <w:tcW w:w="1701" w:type="dxa"/>
          </w:tcPr>
          <w:p>
            <w:pPr>
              <w:pStyle w:val="0"/>
              <w:jc w:val="center"/>
            </w:pPr>
            <w:r>
              <w:rPr>
                <w:sz w:val="24"/>
              </w:rPr>
              <w:t xml:space="preserve">1056,00</w:t>
            </w:r>
          </w:p>
        </w:tc>
        <w:tc>
          <w:tcPr>
            <w:tcW w:w="2268" w:type="dxa"/>
          </w:tcPr>
          <w:p>
            <w:pPr>
              <w:pStyle w:val="0"/>
              <w:jc w:val="center"/>
            </w:pPr>
            <w:r>
              <w:rPr>
                <w:sz w:val="24"/>
              </w:rPr>
              <w:t xml:space="preserve">37:24:030548:55</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3</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2-я Межевая, д. 2</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1930</w:t>
            </w:r>
          </w:p>
        </w:tc>
        <w:tc>
          <w:tcPr>
            <w:tcW w:w="1304" w:type="dxa"/>
          </w:tcPr>
          <w:p>
            <w:pPr>
              <w:pStyle w:val="0"/>
              <w:jc w:val="center"/>
            </w:pPr>
            <w:r>
              <w:rPr>
                <w:sz w:val="24"/>
              </w:rPr>
              <w:t xml:space="preserve">14.04.2021</w:t>
            </w:r>
          </w:p>
        </w:tc>
        <w:tc>
          <w:tcPr>
            <w:tcW w:w="1304" w:type="dxa"/>
          </w:tcPr>
          <w:p>
            <w:pPr>
              <w:pStyle w:val="0"/>
              <w:jc w:val="center"/>
            </w:pPr>
            <w:r>
              <w:rPr>
                <w:sz w:val="24"/>
              </w:rPr>
              <w:t xml:space="preserve">507,30</w:t>
            </w:r>
          </w:p>
        </w:tc>
        <w:tc>
          <w:tcPr>
            <w:tcW w:w="1020" w:type="dxa"/>
          </w:tcPr>
          <w:p>
            <w:pPr>
              <w:pStyle w:val="0"/>
              <w:jc w:val="center"/>
            </w:pPr>
            <w:r>
              <w:rPr>
                <w:sz w:val="24"/>
              </w:rPr>
              <w:t xml:space="preserve">37</w:t>
            </w:r>
          </w:p>
        </w:tc>
        <w:tc>
          <w:tcPr>
            <w:tcW w:w="1077" w:type="dxa"/>
          </w:tcPr>
          <w:p>
            <w:pPr>
              <w:pStyle w:val="0"/>
              <w:jc w:val="center"/>
            </w:pPr>
            <w:r>
              <w:rPr>
                <w:sz w:val="24"/>
              </w:rPr>
              <w:t xml:space="preserve">15</w:t>
            </w:r>
          </w:p>
        </w:tc>
        <w:tc>
          <w:tcPr>
            <w:tcW w:w="1531" w:type="dxa"/>
          </w:tcPr>
          <w:p>
            <w:pPr>
              <w:pStyle w:val="0"/>
              <w:jc w:val="center"/>
            </w:pPr>
            <w:r>
              <w:rPr>
                <w:sz w:val="24"/>
              </w:rPr>
              <w:t xml:space="preserve">31.12.2030</w:t>
            </w:r>
          </w:p>
        </w:tc>
        <w:tc>
          <w:tcPr>
            <w:tcW w:w="1417" w:type="dxa"/>
          </w:tcPr>
          <w:p>
            <w:pPr>
              <w:pStyle w:val="0"/>
              <w:jc w:val="center"/>
            </w:pPr>
            <w:r>
              <w:rPr>
                <w:sz w:val="24"/>
              </w:rPr>
              <w:t xml:space="preserve">268,75</w:t>
            </w:r>
          </w:p>
        </w:tc>
        <w:tc>
          <w:tcPr>
            <w:tcW w:w="1701" w:type="dxa"/>
          </w:tcPr>
          <w:p>
            <w:pPr>
              <w:pStyle w:val="0"/>
              <w:jc w:val="center"/>
            </w:pPr>
            <w:r>
              <w:rPr>
                <w:sz w:val="24"/>
              </w:rPr>
              <w:t xml:space="preserve">1066,00</w:t>
            </w:r>
          </w:p>
        </w:tc>
        <w:tc>
          <w:tcPr>
            <w:tcW w:w="2268" w:type="dxa"/>
          </w:tcPr>
          <w:p>
            <w:pPr>
              <w:pStyle w:val="0"/>
              <w:jc w:val="center"/>
            </w:pPr>
            <w:r>
              <w:rPr>
                <w:sz w:val="24"/>
              </w:rPr>
              <w:t xml:space="preserve">37:24:040114:27</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4</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2-я Межевая, д. 30/42</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1930</w:t>
            </w:r>
          </w:p>
        </w:tc>
        <w:tc>
          <w:tcPr>
            <w:tcW w:w="1304" w:type="dxa"/>
          </w:tcPr>
          <w:p>
            <w:pPr>
              <w:pStyle w:val="0"/>
              <w:jc w:val="center"/>
            </w:pPr>
            <w:r>
              <w:rPr>
                <w:sz w:val="24"/>
              </w:rPr>
              <w:t xml:space="preserve">25.12.2018</w:t>
            </w:r>
          </w:p>
        </w:tc>
        <w:tc>
          <w:tcPr>
            <w:tcW w:w="1304" w:type="dxa"/>
          </w:tcPr>
          <w:p>
            <w:pPr>
              <w:pStyle w:val="0"/>
              <w:jc w:val="center"/>
            </w:pPr>
            <w:r>
              <w:rPr>
                <w:sz w:val="24"/>
              </w:rPr>
              <w:t xml:space="preserve">568,60</w:t>
            </w:r>
          </w:p>
        </w:tc>
        <w:tc>
          <w:tcPr>
            <w:tcW w:w="1020" w:type="dxa"/>
          </w:tcPr>
          <w:p>
            <w:pPr>
              <w:pStyle w:val="0"/>
              <w:jc w:val="center"/>
            </w:pPr>
            <w:r>
              <w:rPr>
                <w:sz w:val="24"/>
              </w:rPr>
              <w:t xml:space="preserve">22</w:t>
            </w:r>
          </w:p>
        </w:tc>
        <w:tc>
          <w:tcPr>
            <w:tcW w:w="1077" w:type="dxa"/>
          </w:tcPr>
          <w:p>
            <w:pPr>
              <w:pStyle w:val="0"/>
              <w:jc w:val="center"/>
            </w:pPr>
            <w:r>
              <w:rPr>
                <w:sz w:val="24"/>
              </w:rPr>
              <w:t xml:space="preserve">11</w:t>
            </w:r>
          </w:p>
        </w:tc>
        <w:tc>
          <w:tcPr>
            <w:tcW w:w="1531" w:type="dxa"/>
          </w:tcPr>
          <w:p>
            <w:pPr>
              <w:pStyle w:val="0"/>
              <w:jc w:val="center"/>
            </w:pPr>
            <w:r>
              <w:rPr>
                <w:sz w:val="24"/>
              </w:rPr>
              <w:t xml:space="preserve">31.12.2025</w:t>
            </w:r>
          </w:p>
        </w:tc>
        <w:tc>
          <w:tcPr>
            <w:tcW w:w="1417" w:type="dxa"/>
          </w:tcPr>
          <w:p>
            <w:pPr>
              <w:pStyle w:val="0"/>
              <w:jc w:val="center"/>
            </w:pPr>
            <w:r>
              <w:rPr>
                <w:sz w:val="24"/>
              </w:rPr>
              <w:t xml:space="preserve">343,10</w:t>
            </w:r>
          </w:p>
        </w:tc>
        <w:tc>
          <w:tcPr>
            <w:tcW w:w="1701" w:type="dxa"/>
          </w:tcPr>
          <w:p>
            <w:pPr>
              <w:pStyle w:val="0"/>
              <w:jc w:val="center"/>
            </w:pPr>
            <w:r>
              <w:rPr>
                <w:sz w:val="24"/>
              </w:rPr>
              <w:t xml:space="preserve">1393,00</w:t>
            </w:r>
          </w:p>
        </w:tc>
        <w:tc>
          <w:tcPr>
            <w:tcW w:w="2268" w:type="dxa"/>
          </w:tcPr>
          <w:p>
            <w:pPr>
              <w:pStyle w:val="0"/>
              <w:jc w:val="center"/>
            </w:pPr>
            <w:r>
              <w:rPr>
                <w:sz w:val="24"/>
              </w:rPr>
              <w:t xml:space="preserve">37:24:040103:23</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5</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2-я Энергетическая, д. 15</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1941</w:t>
            </w:r>
          </w:p>
        </w:tc>
        <w:tc>
          <w:tcPr>
            <w:tcW w:w="1304" w:type="dxa"/>
          </w:tcPr>
          <w:p>
            <w:pPr>
              <w:pStyle w:val="0"/>
              <w:jc w:val="center"/>
            </w:pPr>
            <w:r>
              <w:rPr>
                <w:sz w:val="24"/>
              </w:rPr>
              <w:t xml:space="preserve">25.01.2018</w:t>
            </w:r>
          </w:p>
        </w:tc>
        <w:tc>
          <w:tcPr>
            <w:tcW w:w="1304" w:type="dxa"/>
          </w:tcPr>
          <w:p>
            <w:pPr>
              <w:pStyle w:val="0"/>
              <w:jc w:val="center"/>
            </w:pPr>
            <w:r>
              <w:rPr>
                <w:sz w:val="24"/>
              </w:rPr>
              <w:t xml:space="preserve">475,70</w:t>
            </w:r>
          </w:p>
        </w:tc>
        <w:tc>
          <w:tcPr>
            <w:tcW w:w="1020" w:type="dxa"/>
          </w:tcPr>
          <w:p>
            <w:pPr>
              <w:pStyle w:val="0"/>
              <w:jc w:val="center"/>
            </w:pPr>
            <w:r>
              <w:rPr>
                <w:sz w:val="24"/>
              </w:rPr>
              <w:t xml:space="preserve">25</w:t>
            </w:r>
          </w:p>
        </w:tc>
        <w:tc>
          <w:tcPr>
            <w:tcW w:w="1077" w:type="dxa"/>
          </w:tcPr>
          <w:p>
            <w:pPr>
              <w:pStyle w:val="0"/>
              <w:jc w:val="center"/>
            </w:pPr>
            <w:r>
              <w:rPr>
                <w:sz w:val="24"/>
              </w:rPr>
              <w:t xml:space="preserve">10</w:t>
            </w:r>
          </w:p>
        </w:tc>
        <w:tc>
          <w:tcPr>
            <w:tcW w:w="1531" w:type="dxa"/>
          </w:tcPr>
          <w:p>
            <w:pPr>
              <w:pStyle w:val="0"/>
              <w:jc w:val="center"/>
            </w:pPr>
            <w:r>
              <w:rPr>
                <w:sz w:val="24"/>
              </w:rPr>
              <w:t xml:space="preserve">31.12.2024</w:t>
            </w:r>
          </w:p>
        </w:tc>
        <w:tc>
          <w:tcPr>
            <w:tcW w:w="1417" w:type="dxa"/>
          </w:tcPr>
          <w:p>
            <w:pPr>
              <w:pStyle w:val="0"/>
              <w:jc w:val="center"/>
            </w:pPr>
            <w:r>
              <w:rPr>
                <w:sz w:val="24"/>
              </w:rPr>
              <w:t xml:space="preserve">240,90</w:t>
            </w:r>
          </w:p>
        </w:tc>
        <w:tc>
          <w:tcPr>
            <w:tcW w:w="1701" w:type="dxa"/>
          </w:tcPr>
          <w:p>
            <w:pPr>
              <w:pStyle w:val="0"/>
              <w:jc w:val="center"/>
            </w:pPr>
            <w:r>
              <w:rPr>
                <w:sz w:val="24"/>
              </w:rPr>
              <w:t xml:space="preserve">867,00</w:t>
            </w:r>
          </w:p>
        </w:tc>
        <w:tc>
          <w:tcPr>
            <w:tcW w:w="2268" w:type="dxa"/>
          </w:tcPr>
          <w:p>
            <w:pPr>
              <w:pStyle w:val="0"/>
              <w:jc w:val="center"/>
            </w:pPr>
            <w:r>
              <w:rPr>
                <w:sz w:val="24"/>
              </w:rPr>
              <w:t xml:space="preserve">37:24:040607:69</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6</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3-я Плесская, д. 39</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1963</w:t>
            </w:r>
          </w:p>
        </w:tc>
        <w:tc>
          <w:tcPr>
            <w:tcW w:w="1304" w:type="dxa"/>
          </w:tcPr>
          <w:p>
            <w:pPr>
              <w:pStyle w:val="0"/>
              <w:jc w:val="center"/>
            </w:pPr>
            <w:r>
              <w:rPr>
                <w:sz w:val="24"/>
              </w:rPr>
              <w:t xml:space="preserve">29.01.2019</w:t>
            </w:r>
          </w:p>
        </w:tc>
        <w:tc>
          <w:tcPr>
            <w:tcW w:w="1304" w:type="dxa"/>
          </w:tcPr>
          <w:p>
            <w:pPr>
              <w:pStyle w:val="0"/>
              <w:jc w:val="center"/>
            </w:pPr>
            <w:r>
              <w:rPr>
                <w:sz w:val="24"/>
              </w:rPr>
              <w:t xml:space="preserve">296,00</w:t>
            </w:r>
          </w:p>
        </w:tc>
        <w:tc>
          <w:tcPr>
            <w:tcW w:w="1020" w:type="dxa"/>
          </w:tcPr>
          <w:p>
            <w:pPr>
              <w:pStyle w:val="0"/>
              <w:jc w:val="center"/>
            </w:pPr>
            <w:r>
              <w:rPr>
                <w:sz w:val="24"/>
              </w:rPr>
              <w:t xml:space="preserve">20</w:t>
            </w:r>
          </w:p>
        </w:tc>
        <w:tc>
          <w:tcPr>
            <w:tcW w:w="1077" w:type="dxa"/>
          </w:tcPr>
          <w:p>
            <w:pPr>
              <w:pStyle w:val="0"/>
              <w:jc w:val="center"/>
            </w:pPr>
            <w:r>
              <w:rPr>
                <w:sz w:val="24"/>
              </w:rPr>
              <w:t xml:space="preserve">9</w:t>
            </w:r>
          </w:p>
        </w:tc>
        <w:tc>
          <w:tcPr>
            <w:tcW w:w="1531" w:type="dxa"/>
          </w:tcPr>
          <w:p>
            <w:pPr>
              <w:pStyle w:val="0"/>
              <w:jc w:val="center"/>
            </w:pPr>
            <w:r>
              <w:rPr>
                <w:sz w:val="24"/>
              </w:rPr>
              <w:t xml:space="preserve">31.12.2027</w:t>
            </w:r>
          </w:p>
        </w:tc>
        <w:tc>
          <w:tcPr>
            <w:tcW w:w="1417" w:type="dxa"/>
          </w:tcPr>
          <w:p>
            <w:pPr>
              <w:pStyle w:val="0"/>
              <w:jc w:val="center"/>
            </w:pPr>
            <w:r>
              <w:rPr>
                <w:sz w:val="24"/>
              </w:rPr>
              <w:t xml:space="preserve">170,70</w:t>
            </w:r>
          </w:p>
        </w:tc>
        <w:tc>
          <w:tcPr>
            <w:tcW w:w="1701" w:type="dxa"/>
          </w:tcPr>
          <w:p>
            <w:pPr>
              <w:pStyle w:val="0"/>
              <w:jc w:val="center"/>
            </w:pPr>
            <w:r>
              <w:rPr>
                <w:sz w:val="24"/>
              </w:rPr>
              <w:t xml:space="preserve">1695,00</w:t>
            </w:r>
          </w:p>
        </w:tc>
        <w:tc>
          <w:tcPr>
            <w:tcW w:w="2268" w:type="dxa"/>
          </w:tcPr>
          <w:p>
            <w:pPr>
              <w:pStyle w:val="0"/>
              <w:jc w:val="center"/>
            </w:pPr>
            <w:r>
              <w:rPr>
                <w:sz w:val="24"/>
              </w:rPr>
              <w:t xml:space="preserve">37:24:030233:2</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7</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4-я Меланжевая, д. 3</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1950</w:t>
            </w:r>
          </w:p>
        </w:tc>
        <w:tc>
          <w:tcPr>
            <w:tcW w:w="1304" w:type="dxa"/>
          </w:tcPr>
          <w:p>
            <w:pPr>
              <w:pStyle w:val="0"/>
              <w:jc w:val="center"/>
            </w:pPr>
            <w:r>
              <w:rPr>
                <w:sz w:val="24"/>
              </w:rPr>
              <w:t xml:space="preserve">15.08.2018</w:t>
            </w:r>
          </w:p>
        </w:tc>
        <w:tc>
          <w:tcPr>
            <w:tcW w:w="1304" w:type="dxa"/>
          </w:tcPr>
          <w:p>
            <w:pPr>
              <w:pStyle w:val="0"/>
              <w:jc w:val="center"/>
            </w:pPr>
            <w:r>
              <w:rPr>
                <w:sz w:val="24"/>
              </w:rPr>
              <w:t xml:space="preserve">336,80</w:t>
            </w:r>
          </w:p>
        </w:tc>
        <w:tc>
          <w:tcPr>
            <w:tcW w:w="1020" w:type="dxa"/>
          </w:tcPr>
          <w:p>
            <w:pPr>
              <w:pStyle w:val="0"/>
              <w:jc w:val="center"/>
            </w:pPr>
            <w:r>
              <w:rPr>
                <w:sz w:val="24"/>
              </w:rPr>
              <w:t xml:space="preserve">20</w:t>
            </w:r>
          </w:p>
        </w:tc>
        <w:tc>
          <w:tcPr>
            <w:tcW w:w="1077" w:type="dxa"/>
          </w:tcPr>
          <w:p>
            <w:pPr>
              <w:pStyle w:val="0"/>
              <w:jc w:val="center"/>
            </w:pPr>
            <w:r>
              <w:rPr>
                <w:sz w:val="24"/>
              </w:rPr>
              <w:t xml:space="preserve">9</w:t>
            </w:r>
          </w:p>
        </w:tc>
        <w:tc>
          <w:tcPr>
            <w:tcW w:w="1531" w:type="dxa"/>
          </w:tcPr>
          <w:p>
            <w:pPr>
              <w:pStyle w:val="0"/>
              <w:jc w:val="center"/>
            </w:pPr>
            <w:r>
              <w:rPr>
                <w:sz w:val="24"/>
              </w:rPr>
              <w:t xml:space="preserve">31.12.2025</w:t>
            </w:r>
          </w:p>
        </w:tc>
        <w:tc>
          <w:tcPr>
            <w:tcW w:w="1417" w:type="dxa"/>
          </w:tcPr>
          <w:p>
            <w:pPr>
              <w:pStyle w:val="0"/>
              <w:jc w:val="center"/>
            </w:pPr>
            <w:r>
              <w:rPr>
                <w:sz w:val="24"/>
              </w:rPr>
              <w:t xml:space="preserve">192,40</w:t>
            </w:r>
          </w:p>
        </w:tc>
        <w:tc>
          <w:tcPr>
            <w:tcW w:w="1701" w:type="dxa"/>
          </w:tcPr>
          <w:p>
            <w:pPr>
              <w:pStyle w:val="0"/>
              <w:jc w:val="center"/>
            </w:pPr>
            <w:r>
              <w:rPr>
                <w:sz w:val="24"/>
              </w:rPr>
              <w:t xml:space="preserve">663,00</w:t>
            </w:r>
          </w:p>
        </w:tc>
        <w:tc>
          <w:tcPr>
            <w:tcW w:w="2268" w:type="dxa"/>
          </w:tcPr>
          <w:p>
            <w:pPr>
              <w:pStyle w:val="0"/>
              <w:jc w:val="center"/>
            </w:pPr>
            <w:r>
              <w:rPr>
                <w:sz w:val="24"/>
              </w:rPr>
              <w:t xml:space="preserve">37:24:030618:49</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8</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Богдана Хмельницкого, д. 48</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1947</w:t>
            </w:r>
          </w:p>
        </w:tc>
        <w:tc>
          <w:tcPr>
            <w:tcW w:w="1304" w:type="dxa"/>
          </w:tcPr>
          <w:p>
            <w:pPr>
              <w:pStyle w:val="0"/>
              <w:jc w:val="center"/>
            </w:pPr>
            <w:r>
              <w:rPr>
                <w:sz w:val="24"/>
              </w:rPr>
              <w:t xml:space="preserve">06.12.2018</w:t>
            </w:r>
          </w:p>
        </w:tc>
        <w:tc>
          <w:tcPr>
            <w:tcW w:w="1304" w:type="dxa"/>
          </w:tcPr>
          <w:p>
            <w:pPr>
              <w:pStyle w:val="0"/>
              <w:jc w:val="center"/>
            </w:pPr>
            <w:r>
              <w:rPr>
                <w:sz w:val="24"/>
              </w:rPr>
              <w:t xml:space="preserve">418,50</w:t>
            </w:r>
          </w:p>
        </w:tc>
        <w:tc>
          <w:tcPr>
            <w:tcW w:w="1020" w:type="dxa"/>
          </w:tcPr>
          <w:p>
            <w:pPr>
              <w:pStyle w:val="0"/>
              <w:jc w:val="center"/>
            </w:pPr>
            <w:r>
              <w:rPr>
                <w:sz w:val="24"/>
              </w:rPr>
              <w:t xml:space="preserve">20</w:t>
            </w:r>
          </w:p>
        </w:tc>
        <w:tc>
          <w:tcPr>
            <w:tcW w:w="1077" w:type="dxa"/>
          </w:tcPr>
          <w:p>
            <w:pPr>
              <w:pStyle w:val="0"/>
              <w:jc w:val="center"/>
            </w:pPr>
            <w:r>
              <w:rPr>
                <w:sz w:val="24"/>
              </w:rPr>
              <w:t xml:space="preserve">8</w:t>
            </w:r>
          </w:p>
        </w:tc>
        <w:tc>
          <w:tcPr>
            <w:tcW w:w="1531" w:type="dxa"/>
          </w:tcPr>
          <w:p>
            <w:pPr>
              <w:pStyle w:val="0"/>
              <w:jc w:val="center"/>
            </w:pPr>
            <w:r>
              <w:rPr>
                <w:sz w:val="24"/>
              </w:rPr>
              <w:t xml:space="preserve">31.12.2025</w:t>
            </w:r>
          </w:p>
        </w:tc>
        <w:tc>
          <w:tcPr>
            <w:tcW w:w="1417" w:type="dxa"/>
          </w:tcPr>
          <w:p>
            <w:pPr>
              <w:pStyle w:val="0"/>
              <w:jc w:val="center"/>
            </w:pPr>
            <w:r>
              <w:rPr>
                <w:sz w:val="24"/>
              </w:rPr>
              <w:t xml:space="preserve">221,90</w:t>
            </w:r>
          </w:p>
        </w:tc>
        <w:tc>
          <w:tcPr>
            <w:tcW w:w="1701" w:type="dxa"/>
          </w:tcPr>
          <w:p>
            <w:pPr>
              <w:pStyle w:val="0"/>
              <w:jc w:val="center"/>
            </w:pPr>
            <w:r>
              <w:rPr>
                <w:sz w:val="24"/>
              </w:rPr>
              <w:t xml:space="preserve">1070,00</w:t>
            </w:r>
          </w:p>
        </w:tc>
        <w:tc>
          <w:tcPr>
            <w:tcW w:w="2268" w:type="dxa"/>
          </w:tcPr>
          <w:p>
            <w:pPr>
              <w:pStyle w:val="0"/>
              <w:jc w:val="center"/>
            </w:pPr>
            <w:r>
              <w:rPr>
                <w:sz w:val="24"/>
              </w:rPr>
              <w:t xml:space="preserve">37:24:040112:77</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9</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Войкова, д. 31/10</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1936</w:t>
            </w:r>
          </w:p>
        </w:tc>
        <w:tc>
          <w:tcPr>
            <w:tcW w:w="1304" w:type="dxa"/>
          </w:tcPr>
          <w:p>
            <w:pPr>
              <w:pStyle w:val="0"/>
              <w:jc w:val="center"/>
            </w:pPr>
            <w:r>
              <w:rPr>
                <w:sz w:val="24"/>
              </w:rPr>
              <w:t xml:space="preserve">28.10.2021</w:t>
            </w:r>
          </w:p>
        </w:tc>
        <w:tc>
          <w:tcPr>
            <w:tcW w:w="1304" w:type="dxa"/>
          </w:tcPr>
          <w:p>
            <w:pPr>
              <w:pStyle w:val="0"/>
              <w:jc w:val="center"/>
            </w:pPr>
            <w:r>
              <w:rPr>
                <w:sz w:val="24"/>
              </w:rPr>
              <w:t xml:space="preserve">829,20</w:t>
            </w:r>
          </w:p>
        </w:tc>
        <w:tc>
          <w:tcPr>
            <w:tcW w:w="1020" w:type="dxa"/>
          </w:tcPr>
          <w:p>
            <w:pPr>
              <w:pStyle w:val="0"/>
              <w:jc w:val="center"/>
            </w:pPr>
            <w:r>
              <w:rPr>
                <w:sz w:val="24"/>
              </w:rPr>
              <w:t xml:space="preserve">51</w:t>
            </w:r>
          </w:p>
        </w:tc>
        <w:tc>
          <w:tcPr>
            <w:tcW w:w="1077" w:type="dxa"/>
          </w:tcPr>
          <w:p>
            <w:pPr>
              <w:pStyle w:val="0"/>
              <w:jc w:val="center"/>
            </w:pPr>
            <w:r>
              <w:rPr>
                <w:sz w:val="24"/>
              </w:rPr>
              <w:t xml:space="preserve">20</w:t>
            </w:r>
          </w:p>
        </w:tc>
        <w:tc>
          <w:tcPr>
            <w:tcW w:w="1531" w:type="dxa"/>
          </w:tcPr>
          <w:p>
            <w:pPr>
              <w:pStyle w:val="0"/>
              <w:jc w:val="center"/>
            </w:pPr>
            <w:r>
              <w:rPr>
                <w:sz w:val="24"/>
              </w:rPr>
              <w:t xml:space="preserve">31.12.2026</w:t>
            </w:r>
          </w:p>
        </w:tc>
        <w:tc>
          <w:tcPr>
            <w:tcW w:w="1417" w:type="dxa"/>
          </w:tcPr>
          <w:p>
            <w:pPr>
              <w:pStyle w:val="0"/>
              <w:jc w:val="center"/>
            </w:pPr>
            <w:r>
              <w:rPr>
                <w:sz w:val="24"/>
              </w:rPr>
              <w:t xml:space="preserve">374,80</w:t>
            </w:r>
          </w:p>
        </w:tc>
        <w:tc>
          <w:tcPr>
            <w:tcW w:w="1701" w:type="dxa"/>
          </w:tcPr>
          <w:p>
            <w:pPr>
              <w:pStyle w:val="0"/>
              <w:jc w:val="center"/>
            </w:pPr>
            <w:r>
              <w:rPr>
                <w:sz w:val="24"/>
              </w:rPr>
              <w:t xml:space="preserve">1999,00</w:t>
            </w:r>
          </w:p>
        </w:tc>
        <w:tc>
          <w:tcPr>
            <w:tcW w:w="2268" w:type="dxa"/>
          </w:tcPr>
          <w:p>
            <w:pPr>
              <w:pStyle w:val="0"/>
              <w:jc w:val="center"/>
            </w:pPr>
            <w:r>
              <w:rPr>
                <w:sz w:val="24"/>
              </w:rPr>
              <w:t xml:space="preserve">37:24:020168:6</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10</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Коллективная, д. 5</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1945</w:t>
            </w:r>
          </w:p>
        </w:tc>
        <w:tc>
          <w:tcPr>
            <w:tcW w:w="1304" w:type="dxa"/>
          </w:tcPr>
          <w:p>
            <w:pPr>
              <w:pStyle w:val="0"/>
              <w:jc w:val="center"/>
            </w:pPr>
            <w:r>
              <w:rPr>
                <w:sz w:val="24"/>
              </w:rPr>
              <w:t xml:space="preserve">06.12.2018</w:t>
            </w:r>
          </w:p>
        </w:tc>
        <w:tc>
          <w:tcPr>
            <w:tcW w:w="1304" w:type="dxa"/>
          </w:tcPr>
          <w:p>
            <w:pPr>
              <w:pStyle w:val="0"/>
              <w:jc w:val="center"/>
            </w:pPr>
            <w:r>
              <w:rPr>
                <w:sz w:val="24"/>
              </w:rPr>
              <w:t xml:space="preserve">371,70</w:t>
            </w:r>
          </w:p>
        </w:tc>
        <w:tc>
          <w:tcPr>
            <w:tcW w:w="1020" w:type="dxa"/>
          </w:tcPr>
          <w:p>
            <w:pPr>
              <w:pStyle w:val="0"/>
              <w:jc w:val="center"/>
            </w:pPr>
            <w:r>
              <w:rPr>
                <w:sz w:val="24"/>
              </w:rPr>
              <w:t xml:space="preserve">21</w:t>
            </w:r>
          </w:p>
        </w:tc>
        <w:tc>
          <w:tcPr>
            <w:tcW w:w="1077" w:type="dxa"/>
          </w:tcPr>
          <w:p>
            <w:pPr>
              <w:pStyle w:val="0"/>
              <w:jc w:val="center"/>
            </w:pPr>
            <w:r>
              <w:rPr>
                <w:sz w:val="24"/>
              </w:rPr>
              <w:t xml:space="preserve">7</w:t>
            </w:r>
          </w:p>
        </w:tc>
        <w:tc>
          <w:tcPr>
            <w:tcW w:w="1531" w:type="dxa"/>
          </w:tcPr>
          <w:p>
            <w:pPr>
              <w:pStyle w:val="0"/>
              <w:jc w:val="center"/>
            </w:pPr>
            <w:r>
              <w:rPr>
                <w:sz w:val="24"/>
              </w:rPr>
              <w:t xml:space="preserve">31.12.2026</w:t>
            </w:r>
          </w:p>
        </w:tc>
        <w:tc>
          <w:tcPr>
            <w:tcW w:w="1417" w:type="dxa"/>
          </w:tcPr>
          <w:p>
            <w:pPr>
              <w:pStyle w:val="0"/>
              <w:jc w:val="center"/>
            </w:pPr>
            <w:r>
              <w:rPr>
                <w:sz w:val="24"/>
              </w:rPr>
              <w:t xml:space="preserve">285,60</w:t>
            </w:r>
          </w:p>
        </w:tc>
        <w:tc>
          <w:tcPr>
            <w:tcW w:w="1701" w:type="dxa"/>
          </w:tcPr>
          <w:p>
            <w:pPr>
              <w:pStyle w:val="0"/>
              <w:jc w:val="center"/>
            </w:pPr>
            <w:r>
              <w:rPr>
                <w:sz w:val="24"/>
              </w:rPr>
              <w:t xml:space="preserve">2048,00</w:t>
            </w:r>
          </w:p>
        </w:tc>
        <w:tc>
          <w:tcPr>
            <w:tcW w:w="2268" w:type="dxa"/>
          </w:tcPr>
          <w:p>
            <w:pPr>
              <w:pStyle w:val="0"/>
              <w:jc w:val="center"/>
            </w:pPr>
            <w:r>
              <w:rPr>
                <w:sz w:val="24"/>
              </w:rPr>
              <w:t xml:space="preserve">37:24:020322:9</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11</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Свободы, д. 46</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1930</w:t>
            </w:r>
          </w:p>
        </w:tc>
        <w:tc>
          <w:tcPr>
            <w:tcW w:w="1304" w:type="dxa"/>
          </w:tcPr>
          <w:p>
            <w:pPr>
              <w:pStyle w:val="0"/>
              <w:jc w:val="center"/>
            </w:pPr>
            <w:r>
              <w:rPr>
                <w:sz w:val="24"/>
              </w:rPr>
              <w:t xml:space="preserve">11.05.2018</w:t>
            </w:r>
          </w:p>
        </w:tc>
        <w:tc>
          <w:tcPr>
            <w:tcW w:w="1304" w:type="dxa"/>
          </w:tcPr>
          <w:p>
            <w:pPr>
              <w:pStyle w:val="0"/>
              <w:jc w:val="center"/>
            </w:pPr>
            <w:r>
              <w:rPr>
                <w:sz w:val="24"/>
              </w:rPr>
              <w:t xml:space="preserve">472,90</w:t>
            </w:r>
          </w:p>
        </w:tc>
        <w:tc>
          <w:tcPr>
            <w:tcW w:w="1020" w:type="dxa"/>
          </w:tcPr>
          <w:p>
            <w:pPr>
              <w:pStyle w:val="0"/>
              <w:jc w:val="center"/>
            </w:pPr>
            <w:r>
              <w:rPr>
                <w:sz w:val="24"/>
              </w:rPr>
              <w:t xml:space="preserve">35</w:t>
            </w:r>
          </w:p>
        </w:tc>
        <w:tc>
          <w:tcPr>
            <w:tcW w:w="1077" w:type="dxa"/>
          </w:tcPr>
          <w:p>
            <w:pPr>
              <w:pStyle w:val="0"/>
              <w:jc w:val="center"/>
            </w:pPr>
            <w:r>
              <w:rPr>
                <w:sz w:val="24"/>
              </w:rPr>
              <w:t xml:space="preserve">14</w:t>
            </w:r>
          </w:p>
        </w:tc>
        <w:tc>
          <w:tcPr>
            <w:tcW w:w="1531" w:type="dxa"/>
          </w:tcPr>
          <w:p>
            <w:pPr>
              <w:pStyle w:val="0"/>
              <w:jc w:val="center"/>
            </w:pPr>
            <w:r>
              <w:rPr>
                <w:sz w:val="24"/>
              </w:rPr>
              <w:t xml:space="preserve">31.12.2025</w:t>
            </w:r>
          </w:p>
        </w:tc>
        <w:tc>
          <w:tcPr>
            <w:tcW w:w="1417" w:type="dxa"/>
          </w:tcPr>
          <w:p>
            <w:pPr>
              <w:pStyle w:val="0"/>
              <w:jc w:val="center"/>
            </w:pPr>
            <w:r>
              <w:rPr>
                <w:sz w:val="24"/>
              </w:rPr>
              <w:t xml:space="preserve">253,70</w:t>
            </w:r>
          </w:p>
        </w:tc>
        <w:tc>
          <w:tcPr>
            <w:tcW w:w="1701" w:type="dxa"/>
          </w:tcPr>
          <w:p>
            <w:pPr>
              <w:pStyle w:val="0"/>
              <w:jc w:val="center"/>
            </w:pPr>
            <w:r>
              <w:rPr>
                <w:sz w:val="24"/>
              </w:rPr>
              <w:t xml:space="preserve">935,00</w:t>
            </w:r>
          </w:p>
        </w:tc>
        <w:tc>
          <w:tcPr>
            <w:tcW w:w="2268" w:type="dxa"/>
          </w:tcPr>
          <w:p>
            <w:pPr>
              <w:pStyle w:val="0"/>
              <w:jc w:val="center"/>
            </w:pPr>
            <w:r>
              <w:rPr>
                <w:sz w:val="24"/>
              </w:rPr>
              <w:t xml:space="preserve">37:24:030322:24</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12</w:t>
            </w:r>
          </w:p>
        </w:tc>
        <w:tc>
          <w:tcPr>
            <w:tcW w:w="2551" w:type="dxa"/>
          </w:tcPr>
          <w:p>
            <w:pPr>
              <w:pStyle w:val="0"/>
              <w:jc w:val="both"/>
            </w:pPr>
            <w:r>
              <w:rPr>
                <w:sz w:val="24"/>
              </w:rPr>
              <w:t xml:space="preserve">городской округ Иваново</w:t>
            </w:r>
          </w:p>
        </w:tc>
        <w:tc>
          <w:tcPr>
            <w:tcW w:w="2665" w:type="dxa"/>
          </w:tcPr>
          <w:p>
            <w:pPr>
              <w:pStyle w:val="0"/>
              <w:jc w:val="both"/>
            </w:pPr>
            <w:r>
              <w:rPr>
                <w:sz w:val="24"/>
              </w:rPr>
              <w:t xml:space="preserve">г. Иваново, ул. Ясной Поляны, д. 9</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1927</w:t>
            </w:r>
          </w:p>
        </w:tc>
        <w:tc>
          <w:tcPr>
            <w:tcW w:w="1304" w:type="dxa"/>
          </w:tcPr>
          <w:p>
            <w:pPr>
              <w:pStyle w:val="0"/>
              <w:jc w:val="center"/>
            </w:pPr>
            <w:r>
              <w:rPr>
                <w:sz w:val="24"/>
              </w:rPr>
              <w:t xml:space="preserve">06.12.2018</w:t>
            </w:r>
          </w:p>
        </w:tc>
        <w:tc>
          <w:tcPr>
            <w:tcW w:w="1304" w:type="dxa"/>
          </w:tcPr>
          <w:p>
            <w:pPr>
              <w:pStyle w:val="0"/>
              <w:jc w:val="center"/>
            </w:pPr>
            <w:r>
              <w:rPr>
                <w:sz w:val="24"/>
              </w:rPr>
              <w:t xml:space="preserve">185,90</w:t>
            </w:r>
          </w:p>
        </w:tc>
        <w:tc>
          <w:tcPr>
            <w:tcW w:w="1020" w:type="dxa"/>
          </w:tcPr>
          <w:p>
            <w:pPr>
              <w:pStyle w:val="0"/>
              <w:jc w:val="center"/>
            </w:pPr>
            <w:r>
              <w:rPr>
                <w:sz w:val="24"/>
              </w:rPr>
              <w:t xml:space="preserve">8</w:t>
            </w:r>
          </w:p>
        </w:tc>
        <w:tc>
          <w:tcPr>
            <w:tcW w:w="1077" w:type="dxa"/>
          </w:tcPr>
          <w:p>
            <w:pPr>
              <w:pStyle w:val="0"/>
              <w:jc w:val="center"/>
            </w:pPr>
            <w:r>
              <w:rPr>
                <w:sz w:val="24"/>
              </w:rPr>
              <w:t xml:space="preserve">4</w:t>
            </w:r>
          </w:p>
        </w:tc>
        <w:tc>
          <w:tcPr>
            <w:tcW w:w="1531" w:type="dxa"/>
          </w:tcPr>
          <w:p>
            <w:pPr>
              <w:pStyle w:val="0"/>
              <w:jc w:val="center"/>
            </w:pPr>
            <w:r>
              <w:rPr>
                <w:sz w:val="24"/>
              </w:rPr>
              <w:t xml:space="preserve">31.12.2026</w:t>
            </w:r>
          </w:p>
        </w:tc>
        <w:tc>
          <w:tcPr>
            <w:tcW w:w="1417" w:type="dxa"/>
          </w:tcPr>
          <w:p>
            <w:pPr>
              <w:pStyle w:val="0"/>
              <w:jc w:val="center"/>
            </w:pPr>
            <w:r>
              <w:rPr>
                <w:sz w:val="24"/>
              </w:rPr>
              <w:t xml:space="preserve">186,25</w:t>
            </w:r>
          </w:p>
        </w:tc>
        <w:tc>
          <w:tcPr>
            <w:tcW w:w="1701" w:type="dxa"/>
          </w:tcPr>
          <w:p>
            <w:pPr>
              <w:pStyle w:val="0"/>
              <w:jc w:val="center"/>
            </w:pPr>
            <w:r>
              <w:rPr>
                <w:sz w:val="24"/>
              </w:rPr>
              <w:t xml:space="preserve">684,00</w:t>
            </w:r>
          </w:p>
        </w:tc>
        <w:tc>
          <w:tcPr>
            <w:tcW w:w="2268" w:type="dxa"/>
          </w:tcPr>
          <w:p>
            <w:pPr>
              <w:pStyle w:val="0"/>
              <w:jc w:val="center"/>
            </w:pPr>
            <w:r>
              <w:rPr>
                <w:sz w:val="24"/>
              </w:rPr>
              <w:t xml:space="preserve">37:24:040504:30</w:t>
            </w:r>
          </w:p>
        </w:tc>
        <w:tc>
          <w:tcPr>
            <w:tcW w:w="1928" w:type="dxa"/>
          </w:tcPr>
          <w:p>
            <w:pPr>
              <w:pStyle w:val="0"/>
              <w:jc w:val="both"/>
            </w:pPr>
            <w:r>
              <w:rPr>
                <w:sz w:val="24"/>
              </w:rPr>
              <w:t xml:space="preserve">Сформирован под одним домом</w:t>
            </w:r>
          </w:p>
        </w:tc>
      </w:tr>
      <w:tr>
        <w:tc>
          <w:tcPr>
            <w:gridSpan w:val="3"/>
            <w:tcW w:w="5783" w:type="dxa"/>
          </w:tcPr>
          <w:p>
            <w:pPr>
              <w:pStyle w:val="0"/>
              <w:jc w:val="both"/>
            </w:pPr>
            <w:r>
              <w:rPr>
                <w:sz w:val="24"/>
              </w:rPr>
              <w:t xml:space="preserve">Итого по городскому округу Кинешма</w:t>
            </w:r>
          </w:p>
        </w:tc>
        <w:tc>
          <w:tcPr>
            <w:tcW w:w="1757"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964" w:type="dxa"/>
          </w:tcPr>
          <w:p>
            <w:pPr>
              <w:pStyle w:val="0"/>
              <w:jc w:val="center"/>
            </w:pPr>
            <w:r>
              <w:rPr>
                <w:sz w:val="24"/>
              </w:rPr>
              <w:t xml:space="preserve">X</w:t>
            </w:r>
          </w:p>
        </w:tc>
        <w:tc>
          <w:tcPr>
            <w:tcW w:w="1304" w:type="dxa"/>
          </w:tcPr>
          <w:p>
            <w:pPr>
              <w:pStyle w:val="0"/>
              <w:jc w:val="center"/>
            </w:pPr>
            <w:r>
              <w:rPr>
                <w:sz w:val="24"/>
              </w:rPr>
              <w:t xml:space="preserve">X</w:t>
            </w:r>
          </w:p>
        </w:tc>
        <w:tc>
          <w:tcPr>
            <w:tcW w:w="1304" w:type="dxa"/>
          </w:tcPr>
          <w:p>
            <w:pPr>
              <w:pStyle w:val="0"/>
              <w:jc w:val="center"/>
            </w:pPr>
            <w:r>
              <w:rPr>
                <w:sz w:val="24"/>
              </w:rPr>
              <w:t xml:space="preserve">3446,56</w:t>
            </w:r>
          </w:p>
        </w:tc>
        <w:tc>
          <w:tcPr>
            <w:tcW w:w="1020" w:type="dxa"/>
          </w:tcPr>
          <w:p>
            <w:pPr>
              <w:pStyle w:val="0"/>
              <w:jc w:val="center"/>
            </w:pPr>
            <w:r>
              <w:rPr>
                <w:sz w:val="24"/>
              </w:rPr>
              <w:t xml:space="preserve">226</w:t>
            </w:r>
          </w:p>
        </w:tc>
        <w:tc>
          <w:tcPr>
            <w:tcW w:w="1077" w:type="dxa"/>
          </w:tcPr>
          <w:p>
            <w:pPr>
              <w:pStyle w:val="0"/>
              <w:jc w:val="center"/>
            </w:pPr>
            <w:r>
              <w:rPr>
                <w:sz w:val="24"/>
              </w:rPr>
              <w:t xml:space="preserve">95</w:t>
            </w:r>
          </w:p>
        </w:tc>
        <w:tc>
          <w:tcPr>
            <w:tcW w:w="1531" w:type="dxa"/>
          </w:tcPr>
          <w:p>
            <w:pPr>
              <w:pStyle w:val="0"/>
              <w:jc w:val="center"/>
            </w:pPr>
            <w:r>
              <w:rPr>
                <w:sz w:val="24"/>
              </w:rPr>
              <w:t xml:space="preserve">X</w:t>
            </w:r>
          </w:p>
        </w:tc>
        <w:tc>
          <w:tcPr>
            <w:tcW w:w="1417" w:type="dxa"/>
          </w:tcPr>
          <w:p>
            <w:pPr>
              <w:pStyle w:val="0"/>
              <w:jc w:val="center"/>
            </w:pPr>
            <w:r>
              <w:rPr>
                <w:sz w:val="24"/>
              </w:rPr>
              <w:t xml:space="preserve">3057,70</w:t>
            </w:r>
          </w:p>
        </w:tc>
        <w:tc>
          <w:tcPr>
            <w:tcW w:w="1701" w:type="dxa"/>
          </w:tcPr>
          <w:p>
            <w:pPr>
              <w:pStyle w:val="0"/>
              <w:jc w:val="center"/>
            </w:pPr>
            <w:r>
              <w:rPr>
                <w:sz w:val="24"/>
              </w:rPr>
              <w:t xml:space="preserve">17622,00</w:t>
            </w:r>
          </w:p>
        </w:tc>
        <w:tc>
          <w:tcPr>
            <w:tcW w:w="2268" w:type="dxa"/>
          </w:tcPr>
          <w:p>
            <w:pPr>
              <w:pStyle w:val="0"/>
              <w:jc w:val="center"/>
            </w:pPr>
            <w:r>
              <w:rPr>
                <w:sz w:val="24"/>
              </w:rPr>
              <w:t xml:space="preserve">X</w:t>
            </w:r>
          </w:p>
        </w:tc>
        <w:tc>
          <w:tcPr>
            <w:tcW w:w="1928" w:type="dxa"/>
          </w:tcPr>
          <w:p>
            <w:pPr>
              <w:pStyle w:val="0"/>
              <w:jc w:val="center"/>
            </w:pPr>
            <w:r>
              <w:rPr>
                <w:sz w:val="24"/>
              </w:rPr>
              <w:t xml:space="preserve">X</w:t>
            </w:r>
          </w:p>
        </w:tc>
      </w:tr>
      <w:tr>
        <w:tc>
          <w:tcPr>
            <w:tcW w:w="567" w:type="dxa"/>
          </w:tcPr>
          <w:p>
            <w:pPr>
              <w:pStyle w:val="0"/>
              <w:jc w:val="both"/>
            </w:pPr>
            <w:r>
              <w:rPr>
                <w:sz w:val="24"/>
              </w:rPr>
              <w:t xml:space="preserve">13</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Бойцова, д. 11/52</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1940</w:t>
            </w:r>
          </w:p>
        </w:tc>
        <w:tc>
          <w:tcPr>
            <w:tcW w:w="1304" w:type="dxa"/>
          </w:tcPr>
          <w:p>
            <w:pPr>
              <w:pStyle w:val="0"/>
              <w:jc w:val="center"/>
            </w:pPr>
            <w:r>
              <w:rPr>
                <w:sz w:val="24"/>
              </w:rPr>
              <w:t xml:space="preserve">16.10.2018</w:t>
            </w:r>
          </w:p>
        </w:tc>
        <w:tc>
          <w:tcPr>
            <w:tcW w:w="1304" w:type="dxa"/>
          </w:tcPr>
          <w:p>
            <w:pPr>
              <w:pStyle w:val="0"/>
              <w:jc w:val="center"/>
            </w:pPr>
            <w:r>
              <w:rPr>
                <w:sz w:val="24"/>
              </w:rPr>
              <w:t xml:space="preserve">542,90</w:t>
            </w:r>
          </w:p>
        </w:tc>
        <w:tc>
          <w:tcPr>
            <w:tcW w:w="1020" w:type="dxa"/>
          </w:tcPr>
          <w:p>
            <w:pPr>
              <w:pStyle w:val="0"/>
              <w:jc w:val="center"/>
            </w:pPr>
            <w:r>
              <w:rPr>
                <w:sz w:val="24"/>
              </w:rPr>
              <w:t xml:space="preserve">41</w:t>
            </w:r>
          </w:p>
        </w:tc>
        <w:tc>
          <w:tcPr>
            <w:tcW w:w="1077" w:type="dxa"/>
          </w:tcPr>
          <w:p>
            <w:pPr>
              <w:pStyle w:val="0"/>
              <w:jc w:val="center"/>
            </w:pPr>
            <w:r>
              <w:rPr>
                <w:sz w:val="24"/>
              </w:rPr>
              <w:t xml:space="preserve">18</w:t>
            </w:r>
          </w:p>
        </w:tc>
        <w:tc>
          <w:tcPr>
            <w:tcW w:w="1531" w:type="dxa"/>
          </w:tcPr>
          <w:p>
            <w:pPr>
              <w:pStyle w:val="0"/>
              <w:jc w:val="center"/>
            </w:pPr>
            <w:r>
              <w:rPr>
                <w:sz w:val="24"/>
              </w:rPr>
              <w:t xml:space="preserve">31.12.2025</w:t>
            </w:r>
          </w:p>
        </w:tc>
        <w:tc>
          <w:tcPr>
            <w:tcW w:w="1417" w:type="dxa"/>
          </w:tcPr>
          <w:p>
            <w:pPr>
              <w:pStyle w:val="0"/>
              <w:jc w:val="center"/>
            </w:pPr>
            <w:r>
              <w:rPr>
                <w:sz w:val="24"/>
              </w:rPr>
              <w:t xml:space="preserve">453,00</w:t>
            </w:r>
          </w:p>
        </w:tc>
        <w:tc>
          <w:tcPr>
            <w:tcW w:w="1701" w:type="dxa"/>
          </w:tcPr>
          <w:p>
            <w:pPr>
              <w:pStyle w:val="0"/>
              <w:jc w:val="center"/>
            </w:pPr>
            <w:r>
              <w:rPr>
                <w:sz w:val="24"/>
              </w:rPr>
              <w:t xml:space="preserve">877,00</w:t>
            </w:r>
          </w:p>
        </w:tc>
        <w:tc>
          <w:tcPr>
            <w:tcW w:w="2268" w:type="dxa"/>
          </w:tcPr>
          <w:p>
            <w:pPr>
              <w:pStyle w:val="0"/>
              <w:jc w:val="center"/>
            </w:pPr>
            <w:r>
              <w:rPr>
                <w:sz w:val="24"/>
              </w:rPr>
              <w:t xml:space="preserve">37:25:011003:1</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14</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П. Осипенко, д. 41А/12</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1958</w:t>
            </w:r>
          </w:p>
        </w:tc>
        <w:tc>
          <w:tcPr>
            <w:tcW w:w="1304" w:type="dxa"/>
          </w:tcPr>
          <w:p>
            <w:pPr>
              <w:pStyle w:val="0"/>
              <w:jc w:val="center"/>
            </w:pPr>
            <w:r>
              <w:rPr>
                <w:sz w:val="24"/>
              </w:rPr>
              <w:t xml:space="preserve">14.12.2018</w:t>
            </w:r>
          </w:p>
        </w:tc>
        <w:tc>
          <w:tcPr>
            <w:tcW w:w="1304" w:type="dxa"/>
          </w:tcPr>
          <w:p>
            <w:pPr>
              <w:pStyle w:val="0"/>
              <w:jc w:val="center"/>
            </w:pPr>
            <w:r>
              <w:rPr>
                <w:sz w:val="24"/>
              </w:rPr>
              <w:t xml:space="preserve">110,90</w:t>
            </w:r>
          </w:p>
        </w:tc>
        <w:tc>
          <w:tcPr>
            <w:tcW w:w="1020" w:type="dxa"/>
          </w:tcPr>
          <w:p>
            <w:pPr>
              <w:pStyle w:val="0"/>
              <w:jc w:val="center"/>
            </w:pPr>
            <w:r>
              <w:rPr>
                <w:sz w:val="24"/>
              </w:rPr>
              <w:t xml:space="preserve">11</w:t>
            </w:r>
          </w:p>
        </w:tc>
        <w:tc>
          <w:tcPr>
            <w:tcW w:w="1077" w:type="dxa"/>
          </w:tcPr>
          <w:p>
            <w:pPr>
              <w:pStyle w:val="0"/>
              <w:jc w:val="center"/>
            </w:pPr>
            <w:r>
              <w:rPr>
                <w:sz w:val="24"/>
              </w:rPr>
              <w:t xml:space="preserve">4</w:t>
            </w:r>
          </w:p>
        </w:tc>
        <w:tc>
          <w:tcPr>
            <w:tcW w:w="1531" w:type="dxa"/>
          </w:tcPr>
          <w:p>
            <w:pPr>
              <w:pStyle w:val="0"/>
              <w:jc w:val="center"/>
            </w:pPr>
            <w:r>
              <w:rPr>
                <w:sz w:val="24"/>
              </w:rPr>
              <w:t xml:space="preserve">31.12.2026</w:t>
            </w:r>
          </w:p>
        </w:tc>
        <w:tc>
          <w:tcPr>
            <w:tcW w:w="1417" w:type="dxa"/>
          </w:tcPr>
          <w:p>
            <w:pPr>
              <w:pStyle w:val="0"/>
              <w:jc w:val="center"/>
            </w:pPr>
            <w:r>
              <w:rPr>
                <w:sz w:val="24"/>
              </w:rPr>
              <w:t xml:space="preserve">134,20</w:t>
            </w:r>
          </w:p>
        </w:tc>
        <w:tc>
          <w:tcPr>
            <w:tcW w:w="1701" w:type="dxa"/>
          </w:tcPr>
          <w:p>
            <w:pPr>
              <w:pStyle w:val="0"/>
              <w:jc w:val="center"/>
            </w:pPr>
            <w:r>
              <w:rPr>
                <w:sz w:val="24"/>
              </w:rPr>
              <w:t xml:space="preserve">919,00</w:t>
            </w:r>
          </w:p>
        </w:tc>
        <w:tc>
          <w:tcPr>
            <w:tcW w:w="2268" w:type="dxa"/>
          </w:tcPr>
          <w:p>
            <w:pPr>
              <w:pStyle w:val="0"/>
              <w:jc w:val="center"/>
            </w:pPr>
            <w:r>
              <w:rPr>
                <w:sz w:val="24"/>
              </w:rPr>
              <w:t xml:space="preserve">37:25:030317:3</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15</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Григория Фомина, д. 26</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1956</w:t>
            </w:r>
          </w:p>
        </w:tc>
        <w:tc>
          <w:tcPr>
            <w:tcW w:w="1304" w:type="dxa"/>
          </w:tcPr>
          <w:p>
            <w:pPr>
              <w:pStyle w:val="0"/>
              <w:jc w:val="center"/>
            </w:pPr>
            <w:r>
              <w:rPr>
                <w:sz w:val="24"/>
              </w:rPr>
              <w:t xml:space="preserve">26.06.2025</w:t>
            </w:r>
          </w:p>
        </w:tc>
        <w:tc>
          <w:tcPr>
            <w:tcW w:w="1304" w:type="dxa"/>
          </w:tcPr>
          <w:p>
            <w:pPr>
              <w:pStyle w:val="0"/>
              <w:jc w:val="center"/>
            </w:pPr>
            <w:r>
              <w:rPr>
                <w:sz w:val="24"/>
              </w:rPr>
              <w:t xml:space="preserve">46,40</w:t>
            </w:r>
          </w:p>
        </w:tc>
        <w:tc>
          <w:tcPr>
            <w:tcW w:w="1020" w:type="dxa"/>
          </w:tcPr>
          <w:p>
            <w:pPr>
              <w:pStyle w:val="0"/>
              <w:jc w:val="center"/>
            </w:pPr>
            <w:r>
              <w:rPr>
                <w:sz w:val="24"/>
              </w:rPr>
              <w:t xml:space="preserve">2</w:t>
            </w:r>
          </w:p>
        </w:tc>
        <w:tc>
          <w:tcPr>
            <w:tcW w:w="1077" w:type="dxa"/>
          </w:tcPr>
          <w:p>
            <w:pPr>
              <w:pStyle w:val="0"/>
              <w:jc w:val="center"/>
            </w:pPr>
            <w:r>
              <w:rPr>
                <w:sz w:val="24"/>
              </w:rPr>
              <w:t xml:space="preserve">1</w:t>
            </w:r>
          </w:p>
        </w:tc>
        <w:tc>
          <w:tcPr>
            <w:tcW w:w="1531" w:type="dxa"/>
          </w:tcPr>
          <w:p>
            <w:pPr>
              <w:pStyle w:val="0"/>
              <w:jc w:val="center"/>
            </w:pPr>
            <w:r>
              <w:rPr>
                <w:sz w:val="24"/>
              </w:rPr>
              <w:t xml:space="preserve">31.12.2029</w:t>
            </w:r>
          </w:p>
        </w:tc>
        <w:tc>
          <w:tcPr>
            <w:tcW w:w="1417" w:type="dxa"/>
          </w:tcPr>
          <w:p>
            <w:pPr>
              <w:pStyle w:val="0"/>
              <w:jc w:val="center"/>
            </w:pPr>
            <w:r>
              <w:rPr>
                <w:sz w:val="24"/>
              </w:rPr>
            </w:r>
          </w:p>
        </w:tc>
        <w:tc>
          <w:tcPr>
            <w:tcW w:w="1701" w:type="dxa"/>
          </w:tcPr>
          <w:p>
            <w:pPr>
              <w:pStyle w:val="0"/>
              <w:jc w:val="center"/>
            </w:pPr>
            <w:r>
              <w:rPr>
                <w:sz w:val="24"/>
              </w:rPr>
              <w:t xml:space="preserve">1780,00</w:t>
            </w:r>
          </w:p>
        </w:tc>
        <w:tc>
          <w:tcPr>
            <w:tcW w:w="2268" w:type="dxa"/>
          </w:tcPr>
          <w:p>
            <w:pPr>
              <w:pStyle w:val="0"/>
              <w:jc w:val="center"/>
            </w:pPr>
            <w:r>
              <w:rPr>
                <w:sz w:val="24"/>
              </w:rPr>
              <w:t xml:space="preserve">37:25:040302:5</w:t>
            </w:r>
          </w:p>
        </w:tc>
        <w:tc>
          <w:tcPr>
            <w:tcW w:w="1928" w:type="dxa"/>
          </w:tcPr>
          <w:p>
            <w:pPr>
              <w:pStyle w:val="0"/>
              <w:jc w:val="both"/>
            </w:pPr>
            <w:r>
              <w:rPr>
                <w:sz w:val="24"/>
              </w:rPr>
            </w:r>
          </w:p>
        </w:tc>
      </w:tr>
      <w:tr>
        <w:tc>
          <w:tcPr>
            <w:tcW w:w="567" w:type="dxa"/>
          </w:tcPr>
          <w:p>
            <w:pPr>
              <w:pStyle w:val="0"/>
              <w:jc w:val="both"/>
            </w:pPr>
            <w:r>
              <w:rPr>
                <w:sz w:val="24"/>
              </w:rPr>
              <w:t xml:space="preserve">16</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Земледельческая, д. 8</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1959</w:t>
            </w:r>
          </w:p>
        </w:tc>
        <w:tc>
          <w:tcPr>
            <w:tcW w:w="1304" w:type="dxa"/>
          </w:tcPr>
          <w:p>
            <w:pPr>
              <w:pStyle w:val="0"/>
              <w:jc w:val="center"/>
            </w:pPr>
            <w:r>
              <w:rPr>
                <w:sz w:val="24"/>
              </w:rPr>
              <w:t xml:space="preserve">13.11.2017</w:t>
            </w:r>
          </w:p>
        </w:tc>
        <w:tc>
          <w:tcPr>
            <w:tcW w:w="1304" w:type="dxa"/>
          </w:tcPr>
          <w:p>
            <w:pPr>
              <w:pStyle w:val="0"/>
              <w:jc w:val="center"/>
            </w:pPr>
            <w:r>
              <w:rPr>
                <w:sz w:val="24"/>
              </w:rPr>
              <w:t xml:space="preserve">125,00</w:t>
            </w:r>
          </w:p>
        </w:tc>
        <w:tc>
          <w:tcPr>
            <w:tcW w:w="1020" w:type="dxa"/>
          </w:tcPr>
          <w:p>
            <w:pPr>
              <w:pStyle w:val="0"/>
              <w:jc w:val="center"/>
            </w:pPr>
            <w:r>
              <w:rPr>
                <w:sz w:val="24"/>
              </w:rPr>
              <w:t xml:space="preserve">12</w:t>
            </w:r>
          </w:p>
        </w:tc>
        <w:tc>
          <w:tcPr>
            <w:tcW w:w="1077" w:type="dxa"/>
          </w:tcPr>
          <w:p>
            <w:pPr>
              <w:pStyle w:val="0"/>
              <w:jc w:val="center"/>
            </w:pPr>
            <w:r>
              <w:rPr>
                <w:sz w:val="24"/>
              </w:rPr>
              <w:t xml:space="preserve">3</w:t>
            </w:r>
          </w:p>
        </w:tc>
        <w:tc>
          <w:tcPr>
            <w:tcW w:w="1531" w:type="dxa"/>
          </w:tcPr>
          <w:p>
            <w:pPr>
              <w:pStyle w:val="0"/>
              <w:jc w:val="center"/>
            </w:pPr>
            <w:r>
              <w:rPr>
                <w:sz w:val="24"/>
              </w:rPr>
              <w:t xml:space="preserve">31.12.2024</w:t>
            </w:r>
          </w:p>
        </w:tc>
        <w:tc>
          <w:tcPr>
            <w:tcW w:w="1417" w:type="dxa"/>
          </w:tcPr>
          <w:p>
            <w:pPr>
              <w:pStyle w:val="0"/>
              <w:jc w:val="center"/>
            </w:pPr>
            <w:r>
              <w:rPr>
                <w:sz w:val="24"/>
              </w:rPr>
              <w:t xml:space="preserve">221,50</w:t>
            </w:r>
          </w:p>
        </w:tc>
        <w:tc>
          <w:tcPr>
            <w:tcW w:w="1701" w:type="dxa"/>
          </w:tcPr>
          <w:p>
            <w:pPr>
              <w:pStyle w:val="0"/>
              <w:jc w:val="center"/>
            </w:pPr>
            <w:r>
              <w:rPr>
                <w:sz w:val="24"/>
              </w:rPr>
              <w:t xml:space="preserve">1011,00</w:t>
            </w:r>
          </w:p>
        </w:tc>
        <w:tc>
          <w:tcPr>
            <w:tcW w:w="2268" w:type="dxa"/>
          </w:tcPr>
          <w:p>
            <w:pPr>
              <w:pStyle w:val="0"/>
              <w:jc w:val="center"/>
            </w:pPr>
            <w:r>
              <w:rPr>
                <w:sz w:val="24"/>
              </w:rPr>
              <w:t xml:space="preserve">37:25:030117:5</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17</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им. Короленко, д. 1</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1936</w:t>
            </w:r>
          </w:p>
        </w:tc>
        <w:tc>
          <w:tcPr>
            <w:tcW w:w="1304" w:type="dxa"/>
          </w:tcPr>
          <w:p>
            <w:pPr>
              <w:pStyle w:val="0"/>
              <w:jc w:val="center"/>
            </w:pPr>
            <w:r>
              <w:rPr>
                <w:sz w:val="24"/>
              </w:rPr>
              <w:t xml:space="preserve">16.03.2018</w:t>
            </w:r>
          </w:p>
        </w:tc>
        <w:tc>
          <w:tcPr>
            <w:tcW w:w="1304" w:type="dxa"/>
          </w:tcPr>
          <w:p>
            <w:pPr>
              <w:pStyle w:val="0"/>
              <w:jc w:val="center"/>
            </w:pPr>
            <w:r>
              <w:rPr>
                <w:sz w:val="24"/>
              </w:rPr>
              <w:t xml:space="preserve">497,60</w:t>
            </w:r>
          </w:p>
        </w:tc>
        <w:tc>
          <w:tcPr>
            <w:tcW w:w="1020" w:type="dxa"/>
          </w:tcPr>
          <w:p>
            <w:pPr>
              <w:pStyle w:val="0"/>
              <w:jc w:val="center"/>
            </w:pPr>
            <w:r>
              <w:rPr>
                <w:sz w:val="24"/>
              </w:rPr>
              <w:t xml:space="preserve">40</w:t>
            </w:r>
          </w:p>
        </w:tc>
        <w:tc>
          <w:tcPr>
            <w:tcW w:w="1077" w:type="dxa"/>
          </w:tcPr>
          <w:p>
            <w:pPr>
              <w:pStyle w:val="0"/>
              <w:jc w:val="center"/>
            </w:pPr>
            <w:r>
              <w:rPr>
                <w:sz w:val="24"/>
              </w:rPr>
              <w:t xml:space="preserve">16</w:t>
            </w:r>
          </w:p>
        </w:tc>
        <w:tc>
          <w:tcPr>
            <w:tcW w:w="1531" w:type="dxa"/>
          </w:tcPr>
          <w:p>
            <w:pPr>
              <w:pStyle w:val="0"/>
              <w:jc w:val="center"/>
            </w:pPr>
            <w:r>
              <w:rPr>
                <w:sz w:val="24"/>
              </w:rPr>
              <w:t xml:space="preserve">31.12.2025</w:t>
            </w:r>
          </w:p>
        </w:tc>
        <w:tc>
          <w:tcPr>
            <w:tcW w:w="1417" w:type="dxa"/>
          </w:tcPr>
          <w:p>
            <w:pPr>
              <w:pStyle w:val="0"/>
              <w:jc w:val="center"/>
            </w:pPr>
            <w:r>
              <w:rPr>
                <w:sz w:val="24"/>
              </w:rPr>
              <w:t xml:space="preserve">336,20</w:t>
            </w:r>
          </w:p>
        </w:tc>
        <w:tc>
          <w:tcPr>
            <w:tcW w:w="1701" w:type="dxa"/>
          </w:tcPr>
          <w:p>
            <w:pPr>
              <w:pStyle w:val="0"/>
              <w:jc w:val="center"/>
            </w:pPr>
            <w:r>
              <w:rPr>
                <w:sz w:val="24"/>
              </w:rPr>
              <w:t xml:space="preserve">637,00</w:t>
            </w:r>
          </w:p>
        </w:tc>
        <w:tc>
          <w:tcPr>
            <w:tcW w:w="2268" w:type="dxa"/>
          </w:tcPr>
          <w:p>
            <w:pPr>
              <w:pStyle w:val="0"/>
              <w:jc w:val="center"/>
            </w:pPr>
            <w:r>
              <w:rPr>
                <w:sz w:val="24"/>
              </w:rPr>
              <w:t xml:space="preserve">37:25:010604:1</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18</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Комсомольская, д. 54</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1958</w:t>
            </w:r>
          </w:p>
        </w:tc>
        <w:tc>
          <w:tcPr>
            <w:tcW w:w="1304" w:type="dxa"/>
          </w:tcPr>
          <w:p>
            <w:pPr>
              <w:pStyle w:val="0"/>
              <w:jc w:val="center"/>
            </w:pPr>
            <w:r>
              <w:rPr>
                <w:sz w:val="24"/>
              </w:rPr>
              <w:t xml:space="preserve">08.08.2019</w:t>
            </w:r>
          </w:p>
        </w:tc>
        <w:tc>
          <w:tcPr>
            <w:tcW w:w="1304" w:type="dxa"/>
          </w:tcPr>
          <w:p>
            <w:pPr>
              <w:pStyle w:val="0"/>
              <w:jc w:val="center"/>
            </w:pPr>
            <w:r>
              <w:rPr>
                <w:sz w:val="24"/>
              </w:rPr>
              <w:t xml:space="preserve">303,46</w:t>
            </w:r>
          </w:p>
        </w:tc>
        <w:tc>
          <w:tcPr>
            <w:tcW w:w="1020" w:type="dxa"/>
          </w:tcPr>
          <w:p>
            <w:pPr>
              <w:pStyle w:val="0"/>
              <w:jc w:val="center"/>
            </w:pPr>
            <w:r>
              <w:rPr>
                <w:sz w:val="24"/>
              </w:rPr>
              <w:t xml:space="preserve">13</w:t>
            </w:r>
          </w:p>
        </w:tc>
        <w:tc>
          <w:tcPr>
            <w:tcW w:w="1077" w:type="dxa"/>
          </w:tcPr>
          <w:p>
            <w:pPr>
              <w:pStyle w:val="0"/>
              <w:jc w:val="center"/>
            </w:pPr>
            <w:r>
              <w:rPr>
                <w:sz w:val="24"/>
              </w:rPr>
              <w:t xml:space="preserve">9</w:t>
            </w:r>
          </w:p>
        </w:tc>
        <w:tc>
          <w:tcPr>
            <w:tcW w:w="1531" w:type="dxa"/>
          </w:tcPr>
          <w:p>
            <w:pPr>
              <w:pStyle w:val="0"/>
              <w:jc w:val="center"/>
            </w:pPr>
            <w:r>
              <w:rPr>
                <w:sz w:val="24"/>
              </w:rPr>
              <w:t xml:space="preserve">31.12.2026</w:t>
            </w:r>
          </w:p>
        </w:tc>
        <w:tc>
          <w:tcPr>
            <w:tcW w:w="1417" w:type="dxa"/>
          </w:tcPr>
          <w:p>
            <w:pPr>
              <w:pStyle w:val="0"/>
              <w:jc w:val="center"/>
            </w:pPr>
            <w:r>
              <w:rPr>
                <w:sz w:val="24"/>
              </w:rPr>
              <w:t xml:space="preserve">202,90</w:t>
            </w:r>
          </w:p>
        </w:tc>
        <w:tc>
          <w:tcPr>
            <w:tcW w:w="1701" w:type="dxa"/>
          </w:tcPr>
          <w:p>
            <w:pPr>
              <w:pStyle w:val="0"/>
              <w:jc w:val="center"/>
            </w:pPr>
            <w:r>
              <w:rPr>
                <w:sz w:val="24"/>
              </w:rPr>
              <w:t xml:space="preserve">732,00</w:t>
            </w:r>
          </w:p>
        </w:tc>
        <w:tc>
          <w:tcPr>
            <w:tcW w:w="2268" w:type="dxa"/>
          </w:tcPr>
          <w:p>
            <w:pPr>
              <w:pStyle w:val="0"/>
              <w:jc w:val="center"/>
            </w:pPr>
            <w:r>
              <w:rPr>
                <w:sz w:val="24"/>
              </w:rPr>
              <w:t xml:space="preserve">37:25:020314:30</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19</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Краснофлотская, д. 14</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1948</w:t>
            </w:r>
          </w:p>
        </w:tc>
        <w:tc>
          <w:tcPr>
            <w:tcW w:w="1304" w:type="dxa"/>
          </w:tcPr>
          <w:p>
            <w:pPr>
              <w:pStyle w:val="0"/>
              <w:jc w:val="center"/>
            </w:pPr>
            <w:r>
              <w:rPr>
                <w:sz w:val="24"/>
              </w:rPr>
              <w:t xml:space="preserve">16.03.2018</w:t>
            </w:r>
          </w:p>
        </w:tc>
        <w:tc>
          <w:tcPr>
            <w:tcW w:w="1304" w:type="dxa"/>
          </w:tcPr>
          <w:p>
            <w:pPr>
              <w:pStyle w:val="0"/>
              <w:jc w:val="center"/>
            </w:pPr>
            <w:r>
              <w:rPr>
                <w:sz w:val="24"/>
              </w:rPr>
              <w:t xml:space="preserve">323,40</w:t>
            </w:r>
          </w:p>
        </w:tc>
        <w:tc>
          <w:tcPr>
            <w:tcW w:w="1020" w:type="dxa"/>
          </w:tcPr>
          <w:p>
            <w:pPr>
              <w:pStyle w:val="0"/>
              <w:jc w:val="center"/>
            </w:pPr>
            <w:r>
              <w:rPr>
                <w:sz w:val="24"/>
              </w:rPr>
              <w:t xml:space="preserve">21</w:t>
            </w:r>
          </w:p>
        </w:tc>
        <w:tc>
          <w:tcPr>
            <w:tcW w:w="1077" w:type="dxa"/>
          </w:tcPr>
          <w:p>
            <w:pPr>
              <w:pStyle w:val="0"/>
              <w:jc w:val="center"/>
            </w:pPr>
            <w:r>
              <w:rPr>
                <w:sz w:val="24"/>
              </w:rPr>
              <w:t xml:space="preserve">8</w:t>
            </w:r>
          </w:p>
        </w:tc>
        <w:tc>
          <w:tcPr>
            <w:tcW w:w="1531" w:type="dxa"/>
          </w:tcPr>
          <w:p>
            <w:pPr>
              <w:pStyle w:val="0"/>
              <w:jc w:val="center"/>
            </w:pPr>
            <w:r>
              <w:rPr>
                <w:sz w:val="24"/>
              </w:rPr>
              <w:t xml:space="preserve">31.12.2025</w:t>
            </w:r>
          </w:p>
        </w:tc>
        <w:tc>
          <w:tcPr>
            <w:tcW w:w="1417" w:type="dxa"/>
          </w:tcPr>
          <w:p>
            <w:pPr>
              <w:pStyle w:val="0"/>
              <w:jc w:val="center"/>
            </w:pPr>
            <w:r>
              <w:rPr>
                <w:sz w:val="24"/>
              </w:rPr>
              <w:t xml:space="preserve">219,00</w:t>
            </w:r>
          </w:p>
        </w:tc>
        <w:tc>
          <w:tcPr>
            <w:tcW w:w="1701" w:type="dxa"/>
          </w:tcPr>
          <w:p>
            <w:pPr>
              <w:pStyle w:val="0"/>
              <w:jc w:val="center"/>
            </w:pPr>
            <w:r>
              <w:rPr>
                <w:sz w:val="24"/>
              </w:rPr>
              <w:t xml:space="preserve">1091,00</w:t>
            </w:r>
          </w:p>
        </w:tc>
        <w:tc>
          <w:tcPr>
            <w:tcW w:w="2268" w:type="dxa"/>
          </w:tcPr>
          <w:p>
            <w:pPr>
              <w:pStyle w:val="0"/>
              <w:jc w:val="center"/>
            </w:pPr>
            <w:r>
              <w:rPr>
                <w:sz w:val="24"/>
              </w:rPr>
              <w:t xml:space="preserve">37:25:011003:10</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20</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Пригородная, д. 70</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1967</w:t>
            </w:r>
          </w:p>
        </w:tc>
        <w:tc>
          <w:tcPr>
            <w:tcW w:w="1304" w:type="dxa"/>
          </w:tcPr>
          <w:p>
            <w:pPr>
              <w:pStyle w:val="0"/>
              <w:jc w:val="center"/>
            </w:pPr>
            <w:r>
              <w:rPr>
                <w:sz w:val="24"/>
              </w:rPr>
              <w:t xml:space="preserve">17.04.2019</w:t>
            </w:r>
          </w:p>
        </w:tc>
        <w:tc>
          <w:tcPr>
            <w:tcW w:w="1304" w:type="dxa"/>
          </w:tcPr>
          <w:p>
            <w:pPr>
              <w:pStyle w:val="0"/>
              <w:jc w:val="center"/>
            </w:pPr>
            <w:r>
              <w:rPr>
                <w:sz w:val="24"/>
              </w:rPr>
              <w:t xml:space="preserve">144,00</w:t>
            </w:r>
          </w:p>
        </w:tc>
        <w:tc>
          <w:tcPr>
            <w:tcW w:w="1020" w:type="dxa"/>
          </w:tcPr>
          <w:p>
            <w:pPr>
              <w:pStyle w:val="0"/>
              <w:jc w:val="center"/>
            </w:pPr>
            <w:r>
              <w:rPr>
                <w:sz w:val="24"/>
              </w:rPr>
              <w:t xml:space="preserve">10</w:t>
            </w:r>
          </w:p>
        </w:tc>
        <w:tc>
          <w:tcPr>
            <w:tcW w:w="1077" w:type="dxa"/>
          </w:tcPr>
          <w:p>
            <w:pPr>
              <w:pStyle w:val="0"/>
              <w:jc w:val="center"/>
            </w:pPr>
            <w:r>
              <w:rPr>
                <w:sz w:val="24"/>
              </w:rPr>
              <w:t xml:space="preserve">5</w:t>
            </w:r>
          </w:p>
        </w:tc>
        <w:tc>
          <w:tcPr>
            <w:tcW w:w="1531" w:type="dxa"/>
          </w:tcPr>
          <w:p>
            <w:pPr>
              <w:pStyle w:val="0"/>
              <w:jc w:val="center"/>
            </w:pPr>
            <w:r>
              <w:rPr>
                <w:sz w:val="24"/>
              </w:rPr>
              <w:t xml:space="preserve">31.12.2026</w:t>
            </w:r>
          </w:p>
        </w:tc>
        <w:tc>
          <w:tcPr>
            <w:tcW w:w="1417" w:type="dxa"/>
          </w:tcPr>
          <w:p>
            <w:pPr>
              <w:pStyle w:val="0"/>
              <w:jc w:val="center"/>
            </w:pPr>
            <w:r>
              <w:rPr>
                <w:sz w:val="24"/>
              </w:rPr>
              <w:t xml:space="preserve">134,20</w:t>
            </w:r>
          </w:p>
        </w:tc>
        <w:tc>
          <w:tcPr>
            <w:tcW w:w="1701" w:type="dxa"/>
          </w:tcPr>
          <w:p>
            <w:pPr>
              <w:pStyle w:val="0"/>
              <w:jc w:val="center"/>
            </w:pPr>
            <w:r>
              <w:rPr>
                <w:sz w:val="24"/>
              </w:rPr>
              <w:t xml:space="preserve">1073,00</w:t>
            </w:r>
          </w:p>
        </w:tc>
        <w:tc>
          <w:tcPr>
            <w:tcW w:w="2268" w:type="dxa"/>
          </w:tcPr>
          <w:p>
            <w:pPr>
              <w:pStyle w:val="0"/>
              <w:jc w:val="center"/>
            </w:pPr>
            <w:r>
              <w:rPr>
                <w:sz w:val="24"/>
              </w:rPr>
              <w:t xml:space="preserve">37:25:020120:6</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21</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Семенова, д. 18</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1970</w:t>
            </w:r>
          </w:p>
        </w:tc>
        <w:tc>
          <w:tcPr>
            <w:tcW w:w="1304" w:type="dxa"/>
          </w:tcPr>
          <w:p>
            <w:pPr>
              <w:pStyle w:val="0"/>
              <w:jc w:val="center"/>
            </w:pPr>
            <w:r>
              <w:rPr>
                <w:sz w:val="24"/>
              </w:rPr>
              <w:t xml:space="preserve">29.12.2021</w:t>
            </w:r>
          </w:p>
        </w:tc>
        <w:tc>
          <w:tcPr>
            <w:tcW w:w="1304" w:type="dxa"/>
          </w:tcPr>
          <w:p>
            <w:pPr>
              <w:pStyle w:val="0"/>
              <w:jc w:val="center"/>
            </w:pPr>
            <w:r>
              <w:rPr>
                <w:sz w:val="24"/>
              </w:rPr>
              <w:t xml:space="preserve">79,20</w:t>
            </w:r>
          </w:p>
        </w:tc>
        <w:tc>
          <w:tcPr>
            <w:tcW w:w="1020" w:type="dxa"/>
          </w:tcPr>
          <w:p>
            <w:pPr>
              <w:pStyle w:val="0"/>
              <w:jc w:val="center"/>
            </w:pPr>
            <w:r>
              <w:rPr>
                <w:sz w:val="24"/>
              </w:rPr>
              <w:t xml:space="preserve">8</w:t>
            </w:r>
          </w:p>
        </w:tc>
        <w:tc>
          <w:tcPr>
            <w:tcW w:w="1077" w:type="dxa"/>
          </w:tcPr>
          <w:p>
            <w:pPr>
              <w:pStyle w:val="0"/>
              <w:jc w:val="center"/>
            </w:pPr>
            <w:r>
              <w:rPr>
                <w:sz w:val="24"/>
              </w:rPr>
              <w:t xml:space="preserve">3</w:t>
            </w:r>
          </w:p>
        </w:tc>
        <w:tc>
          <w:tcPr>
            <w:tcW w:w="1531" w:type="dxa"/>
          </w:tcPr>
          <w:p>
            <w:pPr>
              <w:pStyle w:val="0"/>
              <w:jc w:val="center"/>
            </w:pPr>
            <w:r>
              <w:rPr>
                <w:sz w:val="24"/>
              </w:rPr>
              <w:t xml:space="preserve">31.12.2027</w:t>
            </w:r>
          </w:p>
        </w:tc>
        <w:tc>
          <w:tcPr>
            <w:tcW w:w="1417" w:type="dxa"/>
          </w:tcPr>
          <w:p>
            <w:pPr>
              <w:pStyle w:val="0"/>
              <w:jc w:val="center"/>
            </w:pPr>
            <w:r>
              <w:rPr>
                <w:sz w:val="24"/>
              </w:rPr>
              <w:t xml:space="preserve">374,60</w:t>
            </w:r>
          </w:p>
        </w:tc>
        <w:tc>
          <w:tcPr>
            <w:tcW w:w="1701" w:type="dxa"/>
          </w:tcPr>
          <w:p>
            <w:pPr>
              <w:pStyle w:val="0"/>
              <w:jc w:val="center"/>
            </w:pPr>
            <w:r>
              <w:rPr>
                <w:sz w:val="24"/>
              </w:rPr>
              <w:t xml:space="preserve">2299,00</w:t>
            </w:r>
          </w:p>
        </w:tc>
        <w:tc>
          <w:tcPr>
            <w:tcW w:w="2268" w:type="dxa"/>
          </w:tcPr>
          <w:p>
            <w:pPr>
              <w:pStyle w:val="0"/>
              <w:jc w:val="center"/>
            </w:pPr>
            <w:r>
              <w:rPr>
                <w:sz w:val="24"/>
              </w:rPr>
              <w:t xml:space="preserve">37:25:030103:4</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22</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Семенова, д. 18А</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1932</w:t>
            </w:r>
          </w:p>
        </w:tc>
        <w:tc>
          <w:tcPr>
            <w:tcW w:w="1304" w:type="dxa"/>
          </w:tcPr>
          <w:p>
            <w:pPr>
              <w:pStyle w:val="0"/>
              <w:jc w:val="center"/>
            </w:pPr>
            <w:r>
              <w:rPr>
                <w:sz w:val="24"/>
              </w:rPr>
              <w:t xml:space="preserve">20.03.2020</w:t>
            </w:r>
          </w:p>
        </w:tc>
        <w:tc>
          <w:tcPr>
            <w:tcW w:w="1304" w:type="dxa"/>
          </w:tcPr>
          <w:p>
            <w:pPr>
              <w:pStyle w:val="0"/>
              <w:jc w:val="center"/>
            </w:pPr>
            <w:r>
              <w:rPr>
                <w:sz w:val="24"/>
              </w:rPr>
              <w:t xml:space="preserve">410,70</w:t>
            </w:r>
          </w:p>
        </w:tc>
        <w:tc>
          <w:tcPr>
            <w:tcW w:w="1020" w:type="dxa"/>
          </w:tcPr>
          <w:p>
            <w:pPr>
              <w:pStyle w:val="0"/>
              <w:jc w:val="center"/>
            </w:pPr>
            <w:r>
              <w:rPr>
                <w:sz w:val="24"/>
              </w:rPr>
              <w:t xml:space="preserve">31</w:t>
            </w:r>
          </w:p>
        </w:tc>
        <w:tc>
          <w:tcPr>
            <w:tcW w:w="1077" w:type="dxa"/>
          </w:tcPr>
          <w:p>
            <w:pPr>
              <w:pStyle w:val="0"/>
              <w:jc w:val="center"/>
            </w:pPr>
            <w:r>
              <w:rPr>
                <w:sz w:val="24"/>
              </w:rPr>
              <w:t xml:space="preserve">9</w:t>
            </w:r>
          </w:p>
        </w:tc>
        <w:tc>
          <w:tcPr>
            <w:tcW w:w="1531" w:type="dxa"/>
          </w:tcPr>
          <w:p>
            <w:pPr>
              <w:pStyle w:val="0"/>
              <w:jc w:val="center"/>
            </w:pPr>
            <w:r>
              <w:rPr>
                <w:sz w:val="24"/>
              </w:rPr>
              <w:t xml:space="preserve">31.12.2026</w:t>
            </w:r>
          </w:p>
        </w:tc>
        <w:tc>
          <w:tcPr>
            <w:tcW w:w="1417" w:type="dxa"/>
          </w:tcPr>
          <w:p>
            <w:pPr>
              <w:pStyle w:val="0"/>
              <w:jc w:val="center"/>
            </w:pPr>
            <w:r>
              <w:rPr>
                <w:sz w:val="24"/>
              </w:rPr>
              <w:t xml:space="preserve">219,00</w:t>
            </w:r>
          </w:p>
        </w:tc>
        <w:tc>
          <w:tcPr>
            <w:tcW w:w="1701" w:type="dxa"/>
          </w:tcPr>
          <w:p>
            <w:pPr>
              <w:pStyle w:val="0"/>
              <w:jc w:val="center"/>
            </w:pPr>
            <w:r>
              <w:rPr>
                <w:sz w:val="24"/>
              </w:rPr>
              <w:t xml:space="preserve">2254,00</w:t>
            </w:r>
          </w:p>
        </w:tc>
        <w:tc>
          <w:tcPr>
            <w:tcW w:w="2268" w:type="dxa"/>
          </w:tcPr>
          <w:p>
            <w:pPr>
              <w:pStyle w:val="0"/>
              <w:jc w:val="center"/>
            </w:pPr>
            <w:r>
              <w:rPr>
                <w:sz w:val="24"/>
              </w:rPr>
              <w:t xml:space="preserve">37:25:030103:7</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23</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Социалистическая, д. 20</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1938</w:t>
            </w:r>
          </w:p>
        </w:tc>
        <w:tc>
          <w:tcPr>
            <w:tcW w:w="1304" w:type="dxa"/>
          </w:tcPr>
          <w:p>
            <w:pPr>
              <w:pStyle w:val="0"/>
              <w:jc w:val="center"/>
            </w:pPr>
            <w:r>
              <w:rPr>
                <w:sz w:val="24"/>
              </w:rPr>
              <w:t xml:space="preserve">21.11.2018</w:t>
            </w:r>
          </w:p>
        </w:tc>
        <w:tc>
          <w:tcPr>
            <w:tcW w:w="1304" w:type="dxa"/>
          </w:tcPr>
          <w:p>
            <w:pPr>
              <w:pStyle w:val="0"/>
              <w:jc w:val="center"/>
            </w:pPr>
            <w:r>
              <w:rPr>
                <w:sz w:val="24"/>
              </w:rPr>
              <w:t xml:space="preserve">427,70</w:t>
            </w:r>
          </w:p>
        </w:tc>
        <w:tc>
          <w:tcPr>
            <w:tcW w:w="1020" w:type="dxa"/>
          </w:tcPr>
          <w:p>
            <w:pPr>
              <w:pStyle w:val="0"/>
              <w:jc w:val="center"/>
            </w:pPr>
            <w:r>
              <w:rPr>
                <w:sz w:val="24"/>
              </w:rPr>
              <w:t xml:space="preserve">18</w:t>
            </w:r>
          </w:p>
        </w:tc>
        <w:tc>
          <w:tcPr>
            <w:tcW w:w="1077" w:type="dxa"/>
          </w:tcPr>
          <w:p>
            <w:pPr>
              <w:pStyle w:val="0"/>
              <w:jc w:val="center"/>
            </w:pPr>
            <w:r>
              <w:rPr>
                <w:sz w:val="24"/>
              </w:rPr>
              <w:t xml:space="preserve">9</w:t>
            </w:r>
          </w:p>
        </w:tc>
        <w:tc>
          <w:tcPr>
            <w:tcW w:w="1531" w:type="dxa"/>
          </w:tcPr>
          <w:p>
            <w:pPr>
              <w:pStyle w:val="0"/>
              <w:jc w:val="center"/>
            </w:pPr>
            <w:r>
              <w:rPr>
                <w:sz w:val="24"/>
              </w:rPr>
              <w:t xml:space="preserve">31.12.2026</w:t>
            </w:r>
          </w:p>
        </w:tc>
        <w:tc>
          <w:tcPr>
            <w:tcW w:w="1417" w:type="dxa"/>
          </w:tcPr>
          <w:p>
            <w:pPr>
              <w:pStyle w:val="0"/>
              <w:jc w:val="center"/>
            </w:pPr>
            <w:r>
              <w:rPr>
                <w:sz w:val="24"/>
              </w:rPr>
              <w:t xml:space="preserve">219,00</w:t>
            </w:r>
          </w:p>
        </w:tc>
        <w:tc>
          <w:tcPr>
            <w:tcW w:w="1701" w:type="dxa"/>
          </w:tcPr>
          <w:p>
            <w:pPr>
              <w:pStyle w:val="0"/>
              <w:jc w:val="center"/>
            </w:pPr>
            <w:r>
              <w:rPr>
                <w:sz w:val="24"/>
              </w:rPr>
              <w:t xml:space="preserve">2275,00</w:t>
            </w:r>
          </w:p>
        </w:tc>
        <w:tc>
          <w:tcPr>
            <w:tcW w:w="2268" w:type="dxa"/>
          </w:tcPr>
          <w:p>
            <w:pPr>
              <w:pStyle w:val="0"/>
              <w:jc w:val="center"/>
            </w:pPr>
            <w:r>
              <w:rPr>
                <w:sz w:val="24"/>
              </w:rPr>
              <w:t xml:space="preserve">37:25:010306:5</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24</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Спортивная, д. 10</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1951</w:t>
            </w:r>
          </w:p>
        </w:tc>
        <w:tc>
          <w:tcPr>
            <w:tcW w:w="1304" w:type="dxa"/>
          </w:tcPr>
          <w:p>
            <w:pPr>
              <w:pStyle w:val="0"/>
              <w:jc w:val="center"/>
            </w:pPr>
            <w:r>
              <w:rPr>
                <w:sz w:val="24"/>
              </w:rPr>
              <w:t xml:space="preserve">13.11.2017</w:t>
            </w:r>
          </w:p>
        </w:tc>
        <w:tc>
          <w:tcPr>
            <w:tcW w:w="1304" w:type="dxa"/>
          </w:tcPr>
          <w:p>
            <w:pPr>
              <w:pStyle w:val="0"/>
              <w:jc w:val="center"/>
            </w:pPr>
            <w:r>
              <w:rPr>
                <w:sz w:val="24"/>
              </w:rPr>
              <w:t xml:space="preserve">335,40</w:t>
            </w:r>
          </w:p>
        </w:tc>
        <w:tc>
          <w:tcPr>
            <w:tcW w:w="1020" w:type="dxa"/>
          </w:tcPr>
          <w:p>
            <w:pPr>
              <w:pStyle w:val="0"/>
              <w:jc w:val="center"/>
            </w:pPr>
            <w:r>
              <w:rPr>
                <w:sz w:val="24"/>
              </w:rPr>
              <w:t xml:space="preserve">16</w:t>
            </w:r>
          </w:p>
        </w:tc>
        <w:tc>
          <w:tcPr>
            <w:tcW w:w="1077" w:type="dxa"/>
          </w:tcPr>
          <w:p>
            <w:pPr>
              <w:pStyle w:val="0"/>
              <w:jc w:val="center"/>
            </w:pPr>
            <w:r>
              <w:rPr>
                <w:sz w:val="24"/>
              </w:rPr>
              <w:t xml:space="preserve">7</w:t>
            </w:r>
          </w:p>
        </w:tc>
        <w:tc>
          <w:tcPr>
            <w:tcW w:w="1531" w:type="dxa"/>
          </w:tcPr>
          <w:p>
            <w:pPr>
              <w:pStyle w:val="0"/>
              <w:jc w:val="center"/>
            </w:pPr>
            <w:r>
              <w:rPr>
                <w:sz w:val="24"/>
              </w:rPr>
              <w:t xml:space="preserve">31.12.2024</w:t>
            </w:r>
          </w:p>
        </w:tc>
        <w:tc>
          <w:tcPr>
            <w:tcW w:w="1417" w:type="dxa"/>
          </w:tcPr>
          <w:p>
            <w:pPr>
              <w:pStyle w:val="0"/>
              <w:jc w:val="center"/>
            </w:pPr>
            <w:r>
              <w:rPr>
                <w:sz w:val="24"/>
              </w:rPr>
              <w:t xml:space="preserve">306,00</w:t>
            </w:r>
          </w:p>
        </w:tc>
        <w:tc>
          <w:tcPr>
            <w:tcW w:w="1701" w:type="dxa"/>
          </w:tcPr>
          <w:p>
            <w:pPr>
              <w:pStyle w:val="0"/>
              <w:jc w:val="center"/>
            </w:pPr>
            <w:r>
              <w:rPr>
                <w:sz w:val="24"/>
              </w:rPr>
              <w:t xml:space="preserve">1993,00</w:t>
            </w:r>
          </w:p>
        </w:tc>
        <w:tc>
          <w:tcPr>
            <w:tcW w:w="2268" w:type="dxa"/>
          </w:tcPr>
          <w:p>
            <w:pPr>
              <w:pStyle w:val="0"/>
              <w:jc w:val="center"/>
            </w:pPr>
            <w:r>
              <w:rPr>
                <w:sz w:val="24"/>
              </w:rPr>
              <w:t xml:space="preserve">37:25:030119:4</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25</w:t>
            </w:r>
          </w:p>
        </w:tc>
        <w:tc>
          <w:tcPr>
            <w:tcW w:w="2551" w:type="dxa"/>
          </w:tcPr>
          <w:p>
            <w:pPr>
              <w:pStyle w:val="0"/>
              <w:jc w:val="both"/>
            </w:pPr>
            <w:r>
              <w:rPr>
                <w:sz w:val="24"/>
              </w:rPr>
              <w:t xml:space="preserve">городской округ Кинешма</w:t>
            </w:r>
          </w:p>
        </w:tc>
        <w:tc>
          <w:tcPr>
            <w:tcW w:w="2665" w:type="dxa"/>
          </w:tcPr>
          <w:p>
            <w:pPr>
              <w:pStyle w:val="0"/>
              <w:jc w:val="both"/>
            </w:pPr>
            <w:r>
              <w:rPr>
                <w:sz w:val="24"/>
              </w:rPr>
              <w:t xml:space="preserve">г. Кинешма, ул. Шуйская, д. 27</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1972</w:t>
            </w:r>
          </w:p>
        </w:tc>
        <w:tc>
          <w:tcPr>
            <w:tcW w:w="1304" w:type="dxa"/>
          </w:tcPr>
          <w:p>
            <w:pPr>
              <w:pStyle w:val="0"/>
              <w:jc w:val="center"/>
            </w:pPr>
            <w:r>
              <w:rPr>
                <w:sz w:val="24"/>
              </w:rPr>
              <w:t xml:space="preserve">21.06.2019</w:t>
            </w:r>
          </w:p>
        </w:tc>
        <w:tc>
          <w:tcPr>
            <w:tcW w:w="1304" w:type="dxa"/>
          </w:tcPr>
          <w:p>
            <w:pPr>
              <w:pStyle w:val="0"/>
              <w:jc w:val="center"/>
            </w:pPr>
            <w:r>
              <w:rPr>
                <w:sz w:val="24"/>
              </w:rPr>
              <w:t xml:space="preserve">99,90</w:t>
            </w:r>
          </w:p>
        </w:tc>
        <w:tc>
          <w:tcPr>
            <w:tcW w:w="1020" w:type="dxa"/>
          </w:tcPr>
          <w:p>
            <w:pPr>
              <w:pStyle w:val="0"/>
              <w:jc w:val="center"/>
            </w:pPr>
            <w:r>
              <w:rPr>
                <w:sz w:val="24"/>
              </w:rPr>
              <w:t xml:space="preserve">3</w:t>
            </w:r>
          </w:p>
        </w:tc>
        <w:tc>
          <w:tcPr>
            <w:tcW w:w="1077" w:type="dxa"/>
          </w:tcPr>
          <w:p>
            <w:pPr>
              <w:pStyle w:val="0"/>
              <w:jc w:val="center"/>
            </w:pPr>
            <w:r>
              <w:rPr>
                <w:sz w:val="24"/>
              </w:rPr>
              <w:t xml:space="preserve">3</w:t>
            </w:r>
          </w:p>
        </w:tc>
        <w:tc>
          <w:tcPr>
            <w:tcW w:w="1531" w:type="dxa"/>
          </w:tcPr>
          <w:p>
            <w:pPr>
              <w:pStyle w:val="0"/>
              <w:jc w:val="center"/>
            </w:pPr>
            <w:r>
              <w:rPr>
                <w:sz w:val="24"/>
              </w:rPr>
              <w:t xml:space="preserve">31.12.2026</w:t>
            </w:r>
          </w:p>
        </w:tc>
        <w:tc>
          <w:tcPr>
            <w:tcW w:w="1417" w:type="dxa"/>
          </w:tcPr>
          <w:p>
            <w:pPr>
              <w:pStyle w:val="0"/>
              <w:jc w:val="center"/>
            </w:pPr>
            <w:r>
              <w:rPr>
                <w:sz w:val="24"/>
              </w:rPr>
              <w:t xml:space="preserve">238,10</w:t>
            </w:r>
          </w:p>
        </w:tc>
        <w:tc>
          <w:tcPr>
            <w:tcW w:w="1701" w:type="dxa"/>
          </w:tcPr>
          <w:p>
            <w:pPr>
              <w:pStyle w:val="0"/>
              <w:jc w:val="center"/>
            </w:pPr>
            <w:r>
              <w:rPr>
                <w:sz w:val="24"/>
              </w:rPr>
              <w:t xml:space="preserve">681,00</w:t>
            </w:r>
          </w:p>
        </w:tc>
        <w:tc>
          <w:tcPr>
            <w:tcW w:w="2268" w:type="dxa"/>
          </w:tcPr>
          <w:p>
            <w:pPr>
              <w:pStyle w:val="0"/>
              <w:jc w:val="center"/>
            </w:pPr>
            <w:r>
              <w:rPr>
                <w:sz w:val="24"/>
              </w:rPr>
              <w:t xml:space="preserve">37:25:010712:1</w:t>
            </w:r>
          </w:p>
        </w:tc>
        <w:tc>
          <w:tcPr>
            <w:tcW w:w="1928" w:type="dxa"/>
          </w:tcPr>
          <w:p>
            <w:pPr>
              <w:pStyle w:val="0"/>
              <w:jc w:val="both"/>
            </w:pPr>
            <w:r>
              <w:rPr>
                <w:sz w:val="24"/>
              </w:rPr>
              <w:t xml:space="preserve">Сформирован под одним домом</w:t>
            </w:r>
          </w:p>
        </w:tc>
      </w:tr>
      <w:tr>
        <w:tc>
          <w:tcPr>
            <w:gridSpan w:val="3"/>
            <w:tcW w:w="5783" w:type="dxa"/>
          </w:tcPr>
          <w:p>
            <w:pPr>
              <w:pStyle w:val="0"/>
              <w:jc w:val="both"/>
            </w:pPr>
            <w:r>
              <w:rPr>
                <w:sz w:val="24"/>
              </w:rPr>
              <w:t xml:space="preserve">Итого по городскому округу Кохма</w:t>
            </w:r>
          </w:p>
        </w:tc>
        <w:tc>
          <w:tcPr>
            <w:tcW w:w="1757"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964" w:type="dxa"/>
          </w:tcPr>
          <w:p>
            <w:pPr>
              <w:pStyle w:val="0"/>
              <w:jc w:val="center"/>
            </w:pPr>
            <w:r>
              <w:rPr>
                <w:sz w:val="24"/>
              </w:rPr>
              <w:t xml:space="preserve">X</w:t>
            </w:r>
          </w:p>
        </w:tc>
        <w:tc>
          <w:tcPr>
            <w:tcW w:w="1304" w:type="dxa"/>
          </w:tcPr>
          <w:p>
            <w:pPr>
              <w:pStyle w:val="0"/>
              <w:jc w:val="center"/>
            </w:pPr>
            <w:r>
              <w:rPr>
                <w:sz w:val="24"/>
              </w:rPr>
              <w:t xml:space="preserve">X</w:t>
            </w:r>
          </w:p>
        </w:tc>
        <w:tc>
          <w:tcPr>
            <w:tcW w:w="1304" w:type="dxa"/>
          </w:tcPr>
          <w:p>
            <w:pPr>
              <w:pStyle w:val="0"/>
              <w:jc w:val="center"/>
            </w:pPr>
            <w:r>
              <w:rPr>
                <w:sz w:val="24"/>
              </w:rPr>
              <w:t xml:space="preserve">409,00</w:t>
            </w:r>
          </w:p>
        </w:tc>
        <w:tc>
          <w:tcPr>
            <w:tcW w:w="1020" w:type="dxa"/>
          </w:tcPr>
          <w:p>
            <w:pPr>
              <w:pStyle w:val="0"/>
              <w:jc w:val="center"/>
            </w:pPr>
            <w:r>
              <w:rPr>
                <w:sz w:val="24"/>
              </w:rPr>
              <w:t xml:space="preserve">27</w:t>
            </w:r>
          </w:p>
        </w:tc>
        <w:tc>
          <w:tcPr>
            <w:tcW w:w="1077" w:type="dxa"/>
          </w:tcPr>
          <w:p>
            <w:pPr>
              <w:pStyle w:val="0"/>
              <w:jc w:val="center"/>
            </w:pPr>
            <w:r>
              <w:rPr>
                <w:sz w:val="24"/>
              </w:rPr>
              <w:t xml:space="preserve">9</w:t>
            </w:r>
          </w:p>
        </w:tc>
        <w:tc>
          <w:tcPr>
            <w:tcW w:w="1531" w:type="dxa"/>
          </w:tcPr>
          <w:p>
            <w:pPr>
              <w:pStyle w:val="0"/>
              <w:jc w:val="center"/>
            </w:pPr>
            <w:r>
              <w:rPr>
                <w:sz w:val="24"/>
              </w:rPr>
              <w:t xml:space="preserve">X</w:t>
            </w:r>
          </w:p>
        </w:tc>
        <w:tc>
          <w:tcPr>
            <w:tcW w:w="1417" w:type="dxa"/>
          </w:tcPr>
          <w:p>
            <w:pPr>
              <w:pStyle w:val="0"/>
              <w:jc w:val="center"/>
            </w:pPr>
            <w:r>
              <w:rPr>
                <w:sz w:val="24"/>
              </w:rPr>
              <w:t xml:space="preserve">424,50</w:t>
            </w:r>
          </w:p>
        </w:tc>
        <w:tc>
          <w:tcPr>
            <w:tcW w:w="1701" w:type="dxa"/>
          </w:tcPr>
          <w:p>
            <w:pPr>
              <w:pStyle w:val="0"/>
              <w:jc w:val="center"/>
            </w:pPr>
            <w:r>
              <w:rPr>
                <w:sz w:val="24"/>
              </w:rPr>
              <w:t xml:space="preserve">2475,00</w:t>
            </w:r>
          </w:p>
        </w:tc>
        <w:tc>
          <w:tcPr>
            <w:tcW w:w="2268" w:type="dxa"/>
          </w:tcPr>
          <w:p>
            <w:pPr>
              <w:pStyle w:val="0"/>
              <w:jc w:val="center"/>
            </w:pPr>
            <w:r>
              <w:rPr>
                <w:sz w:val="24"/>
              </w:rPr>
              <w:t xml:space="preserve">X</w:t>
            </w:r>
          </w:p>
        </w:tc>
        <w:tc>
          <w:tcPr>
            <w:tcW w:w="1928" w:type="dxa"/>
          </w:tcPr>
          <w:p>
            <w:pPr>
              <w:pStyle w:val="0"/>
              <w:jc w:val="center"/>
            </w:pPr>
            <w:r>
              <w:rPr>
                <w:sz w:val="24"/>
              </w:rPr>
              <w:t xml:space="preserve">X</w:t>
            </w:r>
          </w:p>
        </w:tc>
      </w:tr>
      <w:tr>
        <w:tc>
          <w:tcPr>
            <w:tcW w:w="567" w:type="dxa"/>
          </w:tcPr>
          <w:p>
            <w:pPr>
              <w:pStyle w:val="0"/>
              <w:jc w:val="both"/>
            </w:pPr>
            <w:r>
              <w:rPr>
                <w:sz w:val="24"/>
              </w:rPr>
              <w:t xml:space="preserve">26</w:t>
            </w:r>
          </w:p>
        </w:tc>
        <w:tc>
          <w:tcPr>
            <w:tcW w:w="2551" w:type="dxa"/>
          </w:tcPr>
          <w:p>
            <w:pPr>
              <w:pStyle w:val="0"/>
              <w:jc w:val="both"/>
            </w:pPr>
            <w:r>
              <w:rPr>
                <w:sz w:val="24"/>
              </w:rPr>
              <w:t xml:space="preserve">городской округ Кохма</w:t>
            </w:r>
          </w:p>
        </w:tc>
        <w:tc>
          <w:tcPr>
            <w:tcW w:w="2665" w:type="dxa"/>
          </w:tcPr>
          <w:p>
            <w:pPr>
              <w:pStyle w:val="0"/>
              <w:jc w:val="both"/>
            </w:pPr>
            <w:r>
              <w:rPr>
                <w:sz w:val="24"/>
              </w:rPr>
              <w:t xml:space="preserve">г. Кохма, ул. Владимирская, д. 4</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1928</w:t>
            </w:r>
          </w:p>
        </w:tc>
        <w:tc>
          <w:tcPr>
            <w:tcW w:w="1304" w:type="dxa"/>
          </w:tcPr>
          <w:p>
            <w:pPr>
              <w:pStyle w:val="0"/>
              <w:jc w:val="center"/>
            </w:pPr>
            <w:r>
              <w:rPr>
                <w:sz w:val="24"/>
              </w:rPr>
              <w:t xml:space="preserve">04.07.2019</w:t>
            </w:r>
          </w:p>
        </w:tc>
        <w:tc>
          <w:tcPr>
            <w:tcW w:w="1304" w:type="dxa"/>
          </w:tcPr>
          <w:p>
            <w:pPr>
              <w:pStyle w:val="0"/>
              <w:jc w:val="center"/>
            </w:pPr>
            <w:r>
              <w:rPr>
                <w:sz w:val="24"/>
              </w:rPr>
              <w:t xml:space="preserve">373,30</w:t>
            </w:r>
          </w:p>
        </w:tc>
        <w:tc>
          <w:tcPr>
            <w:tcW w:w="1020" w:type="dxa"/>
          </w:tcPr>
          <w:p>
            <w:pPr>
              <w:pStyle w:val="0"/>
              <w:jc w:val="center"/>
            </w:pPr>
            <w:r>
              <w:rPr>
                <w:sz w:val="24"/>
              </w:rPr>
              <w:t xml:space="preserve">23</w:t>
            </w:r>
          </w:p>
        </w:tc>
        <w:tc>
          <w:tcPr>
            <w:tcW w:w="1077" w:type="dxa"/>
          </w:tcPr>
          <w:p>
            <w:pPr>
              <w:pStyle w:val="0"/>
              <w:jc w:val="center"/>
            </w:pPr>
            <w:r>
              <w:rPr>
                <w:sz w:val="24"/>
              </w:rPr>
              <w:t xml:space="preserve">8</w:t>
            </w:r>
          </w:p>
        </w:tc>
        <w:tc>
          <w:tcPr>
            <w:tcW w:w="1531" w:type="dxa"/>
          </w:tcPr>
          <w:p>
            <w:pPr>
              <w:pStyle w:val="0"/>
              <w:jc w:val="center"/>
            </w:pPr>
            <w:r>
              <w:rPr>
                <w:sz w:val="24"/>
              </w:rPr>
              <w:t xml:space="preserve">31.12.2026</w:t>
            </w:r>
          </w:p>
        </w:tc>
        <w:tc>
          <w:tcPr>
            <w:tcW w:w="1417" w:type="dxa"/>
          </w:tcPr>
          <w:p>
            <w:pPr>
              <w:pStyle w:val="0"/>
              <w:jc w:val="center"/>
            </w:pPr>
            <w:r>
              <w:rPr>
                <w:sz w:val="24"/>
              </w:rPr>
              <w:t xml:space="preserve">190,00</w:t>
            </w:r>
          </w:p>
        </w:tc>
        <w:tc>
          <w:tcPr>
            <w:tcW w:w="1701" w:type="dxa"/>
          </w:tcPr>
          <w:p>
            <w:pPr>
              <w:pStyle w:val="0"/>
              <w:jc w:val="center"/>
            </w:pPr>
            <w:r>
              <w:rPr>
                <w:sz w:val="24"/>
              </w:rPr>
              <w:t xml:space="preserve">671,00</w:t>
            </w:r>
          </w:p>
        </w:tc>
        <w:tc>
          <w:tcPr>
            <w:tcW w:w="2268" w:type="dxa"/>
          </w:tcPr>
          <w:p>
            <w:pPr>
              <w:pStyle w:val="0"/>
              <w:jc w:val="center"/>
            </w:pPr>
            <w:r>
              <w:rPr>
                <w:sz w:val="24"/>
              </w:rPr>
              <w:t xml:space="preserve">37:29:010117:20</w:t>
            </w:r>
          </w:p>
        </w:tc>
        <w:tc>
          <w:tcPr>
            <w:tcW w:w="1928" w:type="dxa"/>
          </w:tcPr>
          <w:p>
            <w:pPr>
              <w:pStyle w:val="0"/>
              <w:jc w:val="both"/>
            </w:pPr>
            <w:r>
              <w:rPr>
                <w:sz w:val="24"/>
              </w:rPr>
              <w:t xml:space="preserve">Сформирован под одним домом</w:t>
            </w:r>
          </w:p>
        </w:tc>
      </w:tr>
      <w:tr>
        <w:tc>
          <w:tcPr>
            <w:tcW w:w="567" w:type="dxa"/>
          </w:tcPr>
          <w:p>
            <w:pPr>
              <w:pStyle w:val="0"/>
              <w:jc w:val="both"/>
            </w:pPr>
            <w:r>
              <w:rPr>
                <w:sz w:val="24"/>
              </w:rPr>
              <w:t xml:space="preserve">27</w:t>
            </w:r>
          </w:p>
        </w:tc>
        <w:tc>
          <w:tcPr>
            <w:tcW w:w="2551" w:type="dxa"/>
          </w:tcPr>
          <w:p>
            <w:pPr>
              <w:pStyle w:val="0"/>
              <w:jc w:val="both"/>
            </w:pPr>
            <w:r>
              <w:rPr>
                <w:sz w:val="24"/>
              </w:rPr>
              <w:t xml:space="preserve">городской округ Кохма</w:t>
            </w:r>
          </w:p>
        </w:tc>
        <w:tc>
          <w:tcPr>
            <w:tcW w:w="2665" w:type="dxa"/>
          </w:tcPr>
          <w:p>
            <w:pPr>
              <w:pStyle w:val="0"/>
              <w:jc w:val="both"/>
            </w:pPr>
            <w:r>
              <w:rPr>
                <w:sz w:val="24"/>
              </w:rPr>
              <w:t xml:space="preserve">г. Кохма, ул. Московская, д. 27</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1962</w:t>
            </w:r>
          </w:p>
        </w:tc>
        <w:tc>
          <w:tcPr>
            <w:tcW w:w="1304" w:type="dxa"/>
          </w:tcPr>
          <w:p>
            <w:pPr>
              <w:pStyle w:val="0"/>
              <w:jc w:val="center"/>
            </w:pPr>
            <w:r>
              <w:rPr>
                <w:sz w:val="24"/>
              </w:rPr>
              <w:t xml:space="preserve">27.01.2025</w:t>
            </w:r>
          </w:p>
        </w:tc>
        <w:tc>
          <w:tcPr>
            <w:tcW w:w="1304" w:type="dxa"/>
          </w:tcPr>
          <w:p>
            <w:pPr>
              <w:pStyle w:val="0"/>
              <w:jc w:val="center"/>
            </w:pPr>
            <w:r>
              <w:rPr>
                <w:sz w:val="24"/>
              </w:rPr>
              <w:t xml:space="preserve">35,70</w:t>
            </w:r>
          </w:p>
        </w:tc>
        <w:tc>
          <w:tcPr>
            <w:tcW w:w="1020" w:type="dxa"/>
          </w:tcPr>
          <w:p>
            <w:pPr>
              <w:pStyle w:val="0"/>
              <w:jc w:val="center"/>
            </w:pPr>
            <w:r>
              <w:rPr>
                <w:sz w:val="24"/>
              </w:rPr>
              <w:t xml:space="preserve">4</w:t>
            </w:r>
          </w:p>
        </w:tc>
        <w:tc>
          <w:tcPr>
            <w:tcW w:w="1077" w:type="dxa"/>
          </w:tcPr>
          <w:p>
            <w:pPr>
              <w:pStyle w:val="0"/>
              <w:jc w:val="center"/>
            </w:pPr>
            <w:r>
              <w:rPr>
                <w:sz w:val="24"/>
              </w:rPr>
              <w:t xml:space="preserve">1</w:t>
            </w:r>
          </w:p>
        </w:tc>
        <w:tc>
          <w:tcPr>
            <w:tcW w:w="1531" w:type="dxa"/>
          </w:tcPr>
          <w:p>
            <w:pPr>
              <w:pStyle w:val="0"/>
              <w:jc w:val="center"/>
            </w:pPr>
            <w:r>
              <w:rPr>
                <w:sz w:val="24"/>
              </w:rPr>
              <w:t xml:space="preserve">31.12.2029</w:t>
            </w:r>
          </w:p>
        </w:tc>
        <w:tc>
          <w:tcPr>
            <w:tcW w:w="1417" w:type="dxa"/>
          </w:tcPr>
          <w:p>
            <w:pPr>
              <w:pStyle w:val="0"/>
              <w:jc w:val="center"/>
            </w:pPr>
            <w:r>
              <w:rPr>
                <w:sz w:val="24"/>
              </w:rPr>
              <w:t xml:space="preserve">234,50</w:t>
            </w:r>
          </w:p>
        </w:tc>
        <w:tc>
          <w:tcPr>
            <w:tcW w:w="1701" w:type="dxa"/>
          </w:tcPr>
          <w:p>
            <w:pPr>
              <w:pStyle w:val="0"/>
              <w:jc w:val="center"/>
            </w:pPr>
            <w:r>
              <w:rPr>
                <w:sz w:val="24"/>
              </w:rPr>
              <w:t xml:space="preserve">1804,00</w:t>
            </w:r>
          </w:p>
        </w:tc>
        <w:tc>
          <w:tcPr>
            <w:tcW w:w="2268" w:type="dxa"/>
          </w:tcPr>
          <w:p>
            <w:pPr>
              <w:pStyle w:val="0"/>
              <w:jc w:val="center"/>
            </w:pPr>
            <w:r>
              <w:rPr>
                <w:sz w:val="24"/>
              </w:rPr>
              <w:t xml:space="preserve">37:29:010107:39</w:t>
            </w:r>
          </w:p>
        </w:tc>
        <w:tc>
          <w:tcPr>
            <w:tcW w:w="1928" w:type="dxa"/>
          </w:tcPr>
          <w:p>
            <w:pPr>
              <w:pStyle w:val="0"/>
              <w:jc w:val="both"/>
            </w:pPr>
            <w:r>
              <w:rPr>
                <w:sz w:val="24"/>
              </w:rPr>
              <w:t xml:space="preserve">Сформирован под одним домом</w:t>
            </w:r>
          </w:p>
        </w:tc>
      </w:tr>
      <w:tr>
        <w:tc>
          <w:tcPr>
            <w:gridSpan w:val="3"/>
            <w:tcW w:w="5783" w:type="dxa"/>
          </w:tcPr>
          <w:p>
            <w:pPr>
              <w:pStyle w:val="0"/>
              <w:jc w:val="both"/>
            </w:pPr>
            <w:r>
              <w:rPr>
                <w:sz w:val="24"/>
              </w:rPr>
              <w:t xml:space="preserve">Итого по Заволжскому муниципальному району</w:t>
            </w:r>
          </w:p>
        </w:tc>
        <w:tc>
          <w:tcPr>
            <w:tcW w:w="1757"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964" w:type="dxa"/>
          </w:tcPr>
          <w:p>
            <w:pPr>
              <w:pStyle w:val="0"/>
              <w:jc w:val="center"/>
            </w:pPr>
            <w:r>
              <w:rPr>
                <w:sz w:val="24"/>
              </w:rPr>
              <w:t xml:space="preserve">X</w:t>
            </w:r>
          </w:p>
        </w:tc>
        <w:tc>
          <w:tcPr>
            <w:tcW w:w="1304" w:type="dxa"/>
          </w:tcPr>
          <w:p>
            <w:pPr>
              <w:pStyle w:val="0"/>
              <w:jc w:val="center"/>
            </w:pPr>
            <w:r>
              <w:rPr>
                <w:sz w:val="24"/>
              </w:rPr>
              <w:t xml:space="preserve">X</w:t>
            </w:r>
          </w:p>
        </w:tc>
        <w:tc>
          <w:tcPr>
            <w:tcW w:w="1304" w:type="dxa"/>
          </w:tcPr>
          <w:p>
            <w:pPr>
              <w:pStyle w:val="0"/>
              <w:jc w:val="center"/>
            </w:pPr>
            <w:r>
              <w:rPr>
                <w:sz w:val="24"/>
              </w:rPr>
              <w:t xml:space="preserve">338,70</w:t>
            </w:r>
          </w:p>
        </w:tc>
        <w:tc>
          <w:tcPr>
            <w:tcW w:w="1020" w:type="dxa"/>
          </w:tcPr>
          <w:p>
            <w:pPr>
              <w:pStyle w:val="0"/>
              <w:jc w:val="center"/>
            </w:pPr>
            <w:r>
              <w:rPr>
                <w:sz w:val="24"/>
              </w:rPr>
              <w:t xml:space="preserve">12</w:t>
            </w:r>
          </w:p>
        </w:tc>
        <w:tc>
          <w:tcPr>
            <w:tcW w:w="1077" w:type="dxa"/>
          </w:tcPr>
          <w:p>
            <w:pPr>
              <w:pStyle w:val="0"/>
              <w:jc w:val="center"/>
            </w:pPr>
            <w:r>
              <w:rPr>
                <w:sz w:val="24"/>
              </w:rPr>
              <w:t xml:space="preserve">7</w:t>
            </w:r>
          </w:p>
        </w:tc>
        <w:tc>
          <w:tcPr>
            <w:tcW w:w="1531" w:type="dxa"/>
          </w:tcPr>
          <w:p>
            <w:pPr>
              <w:pStyle w:val="0"/>
              <w:jc w:val="center"/>
            </w:pPr>
            <w:r>
              <w:rPr>
                <w:sz w:val="24"/>
              </w:rPr>
              <w:t xml:space="preserve">X</w:t>
            </w:r>
          </w:p>
        </w:tc>
        <w:tc>
          <w:tcPr>
            <w:tcW w:w="1417" w:type="dxa"/>
          </w:tcPr>
          <w:p>
            <w:pPr>
              <w:pStyle w:val="0"/>
              <w:jc w:val="center"/>
            </w:pPr>
            <w:r>
              <w:rPr>
                <w:sz w:val="24"/>
              </w:rPr>
              <w:t xml:space="preserve">279,50</w:t>
            </w:r>
          </w:p>
        </w:tc>
        <w:tc>
          <w:tcPr>
            <w:tcW w:w="1701" w:type="dxa"/>
          </w:tcPr>
          <w:p>
            <w:pPr>
              <w:pStyle w:val="0"/>
              <w:jc w:val="center"/>
            </w:pPr>
            <w:r>
              <w:rPr>
                <w:sz w:val="24"/>
              </w:rPr>
              <w:t xml:space="preserve">2155,00</w:t>
            </w:r>
          </w:p>
        </w:tc>
        <w:tc>
          <w:tcPr>
            <w:tcW w:w="2268" w:type="dxa"/>
          </w:tcPr>
          <w:p>
            <w:pPr>
              <w:pStyle w:val="0"/>
              <w:jc w:val="center"/>
            </w:pPr>
            <w:r>
              <w:rPr>
                <w:sz w:val="24"/>
              </w:rPr>
              <w:t xml:space="preserve">X</w:t>
            </w:r>
          </w:p>
        </w:tc>
        <w:tc>
          <w:tcPr>
            <w:tcW w:w="1928" w:type="dxa"/>
          </w:tcPr>
          <w:p>
            <w:pPr>
              <w:pStyle w:val="0"/>
              <w:jc w:val="center"/>
            </w:pPr>
            <w:r>
              <w:rPr>
                <w:sz w:val="24"/>
              </w:rPr>
              <w:t xml:space="preserve">X</w:t>
            </w:r>
          </w:p>
        </w:tc>
      </w:tr>
      <w:tr>
        <w:tc>
          <w:tcPr>
            <w:tcW w:w="567" w:type="dxa"/>
          </w:tcPr>
          <w:p>
            <w:pPr>
              <w:pStyle w:val="0"/>
              <w:jc w:val="both"/>
            </w:pPr>
            <w:r>
              <w:rPr>
                <w:sz w:val="24"/>
              </w:rPr>
              <w:t xml:space="preserve">28</w:t>
            </w:r>
          </w:p>
        </w:tc>
        <w:tc>
          <w:tcPr>
            <w:tcW w:w="2551" w:type="dxa"/>
          </w:tcPr>
          <w:p>
            <w:pPr>
              <w:pStyle w:val="0"/>
              <w:jc w:val="both"/>
            </w:pPr>
            <w:r>
              <w:rPr>
                <w:sz w:val="24"/>
              </w:rPr>
              <w:t xml:space="preserve">Заволжское городское поселение</w:t>
            </w:r>
          </w:p>
        </w:tc>
        <w:tc>
          <w:tcPr>
            <w:tcW w:w="2665" w:type="dxa"/>
          </w:tcPr>
          <w:p>
            <w:pPr>
              <w:pStyle w:val="0"/>
              <w:jc w:val="both"/>
            </w:pPr>
            <w:r>
              <w:rPr>
                <w:sz w:val="24"/>
              </w:rPr>
              <w:t xml:space="preserve">г. Заволжск, ул. Октябрьская, д. 1</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1952</w:t>
            </w:r>
          </w:p>
        </w:tc>
        <w:tc>
          <w:tcPr>
            <w:tcW w:w="1304" w:type="dxa"/>
          </w:tcPr>
          <w:p>
            <w:pPr>
              <w:pStyle w:val="0"/>
              <w:jc w:val="center"/>
            </w:pPr>
            <w:r>
              <w:rPr>
                <w:sz w:val="24"/>
              </w:rPr>
              <w:t xml:space="preserve">28.12.2021</w:t>
            </w:r>
          </w:p>
        </w:tc>
        <w:tc>
          <w:tcPr>
            <w:tcW w:w="1304" w:type="dxa"/>
          </w:tcPr>
          <w:p>
            <w:pPr>
              <w:pStyle w:val="0"/>
              <w:jc w:val="center"/>
            </w:pPr>
            <w:r>
              <w:rPr>
                <w:sz w:val="24"/>
              </w:rPr>
              <w:t xml:space="preserve">338,70</w:t>
            </w:r>
          </w:p>
        </w:tc>
        <w:tc>
          <w:tcPr>
            <w:tcW w:w="1020" w:type="dxa"/>
          </w:tcPr>
          <w:p>
            <w:pPr>
              <w:pStyle w:val="0"/>
              <w:jc w:val="center"/>
            </w:pPr>
            <w:r>
              <w:rPr>
                <w:sz w:val="24"/>
              </w:rPr>
              <w:t xml:space="preserve">12</w:t>
            </w:r>
          </w:p>
        </w:tc>
        <w:tc>
          <w:tcPr>
            <w:tcW w:w="1077" w:type="dxa"/>
          </w:tcPr>
          <w:p>
            <w:pPr>
              <w:pStyle w:val="0"/>
              <w:jc w:val="center"/>
            </w:pPr>
            <w:r>
              <w:rPr>
                <w:sz w:val="24"/>
              </w:rPr>
              <w:t xml:space="preserve">7</w:t>
            </w:r>
          </w:p>
        </w:tc>
        <w:tc>
          <w:tcPr>
            <w:tcW w:w="1531" w:type="dxa"/>
          </w:tcPr>
          <w:p>
            <w:pPr>
              <w:pStyle w:val="0"/>
              <w:jc w:val="center"/>
            </w:pPr>
            <w:r>
              <w:rPr>
                <w:sz w:val="24"/>
              </w:rPr>
              <w:t xml:space="preserve">31.12.2026</w:t>
            </w:r>
          </w:p>
        </w:tc>
        <w:tc>
          <w:tcPr>
            <w:tcW w:w="1417" w:type="dxa"/>
          </w:tcPr>
          <w:p>
            <w:pPr>
              <w:pStyle w:val="0"/>
              <w:jc w:val="center"/>
            </w:pPr>
            <w:r>
              <w:rPr>
                <w:sz w:val="24"/>
              </w:rPr>
              <w:t xml:space="preserve">279,50</w:t>
            </w:r>
          </w:p>
        </w:tc>
        <w:tc>
          <w:tcPr>
            <w:tcW w:w="1701" w:type="dxa"/>
          </w:tcPr>
          <w:p>
            <w:pPr>
              <w:pStyle w:val="0"/>
              <w:jc w:val="center"/>
            </w:pPr>
            <w:r>
              <w:rPr>
                <w:sz w:val="24"/>
              </w:rPr>
              <w:t xml:space="preserve">2155,00</w:t>
            </w:r>
          </w:p>
        </w:tc>
        <w:tc>
          <w:tcPr>
            <w:tcW w:w="2268" w:type="dxa"/>
          </w:tcPr>
          <w:p>
            <w:pPr>
              <w:pStyle w:val="0"/>
              <w:jc w:val="center"/>
            </w:pPr>
            <w:r>
              <w:rPr>
                <w:sz w:val="24"/>
              </w:rPr>
              <w:t xml:space="preserve">37:04:040402:38</w:t>
            </w:r>
          </w:p>
        </w:tc>
        <w:tc>
          <w:tcPr>
            <w:tcW w:w="1928" w:type="dxa"/>
          </w:tcPr>
          <w:p>
            <w:pPr>
              <w:pStyle w:val="0"/>
              <w:jc w:val="both"/>
            </w:pPr>
            <w:r>
              <w:rPr>
                <w:sz w:val="24"/>
              </w:rPr>
              <w:t xml:space="preserve">Не сформирован</w:t>
            </w:r>
          </w:p>
        </w:tc>
      </w:tr>
      <w:tr>
        <w:tc>
          <w:tcPr>
            <w:gridSpan w:val="3"/>
            <w:tcW w:w="5783" w:type="dxa"/>
          </w:tcPr>
          <w:p>
            <w:pPr>
              <w:pStyle w:val="0"/>
              <w:jc w:val="both"/>
            </w:pPr>
            <w:r>
              <w:rPr>
                <w:sz w:val="24"/>
              </w:rPr>
              <w:t xml:space="preserve">Итого по Лежневскому муниципальному району</w:t>
            </w:r>
          </w:p>
        </w:tc>
        <w:tc>
          <w:tcPr>
            <w:tcW w:w="1757"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964" w:type="dxa"/>
          </w:tcPr>
          <w:p>
            <w:pPr>
              <w:pStyle w:val="0"/>
              <w:jc w:val="center"/>
            </w:pPr>
            <w:r>
              <w:rPr>
                <w:sz w:val="24"/>
              </w:rPr>
              <w:t xml:space="preserve">X</w:t>
            </w:r>
          </w:p>
        </w:tc>
        <w:tc>
          <w:tcPr>
            <w:tcW w:w="1304" w:type="dxa"/>
          </w:tcPr>
          <w:p>
            <w:pPr>
              <w:pStyle w:val="0"/>
              <w:jc w:val="center"/>
            </w:pPr>
            <w:r>
              <w:rPr>
                <w:sz w:val="24"/>
              </w:rPr>
              <w:t xml:space="preserve">X</w:t>
            </w:r>
          </w:p>
        </w:tc>
        <w:tc>
          <w:tcPr>
            <w:tcW w:w="1304" w:type="dxa"/>
          </w:tcPr>
          <w:p>
            <w:pPr>
              <w:pStyle w:val="0"/>
              <w:jc w:val="center"/>
            </w:pPr>
            <w:r>
              <w:rPr>
                <w:sz w:val="24"/>
              </w:rPr>
              <w:t xml:space="preserve">96,80</w:t>
            </w:r>
          </w:p>
        </w:tc>
        <w:tc>
          <w:tcPr>
            <w:tcW w:w="1020" w:type="dxa"/>
          </w:tcPr>
          <w:p>
            <w:pPr>
              <w:pStyle w:val="0"/>
              <w:jc w:val="center"/>
            </w:pPr>
            <w:r>
              <w:rPr>
                <w:sz w:val="24"/>
              </w:rPr>
              <w:t xml:space="preserve">5</w:t>
            </w:r>
          </w:p>
        </w:tc>
        <w:tc>
          <w:tcPr>
            <w:tcW w:w="1077" w:type="dxa"/>
          </w:tcPr>
          <w:p>
            <w:pPr>
              <w:pStyle w:val="0"/>
              <w:jc w:val="center"/>
            </w:pPr>
            <w:r>
              <w:rPr>
                <w:sz w:val="24"/>
              </w:rPr>
              <w:t xml:space="preserve">2</w:t>
            </w:r>
          </w:p>
        </w:tc>
        <w:tc>
          <w:tcPr>
            <w:tcW w:w="1531" w:type="dxa"/>
          </w:tcPr>
          <w:p>
            <w:pPr>
              <w:pStyle w:val="0"/>
              <w:jc w:val="center"/>
            </w:pPr>
            <w:r>
              <w:rPr>
                <w:sz w:val="24"/>
              </w:rPr>
              <w:t xml:space="preserve">X</w:t>
            </w:r>
          </w:p>
        </w:tc>
        <w:tc>
          <w:tcPr>
            <w:tcW w:w="1417" w:type="dxa"/>
          </w:tcPr>
          <w:p>
            <w:pPr>
              <w:pStyle w:val="0"/>
              <w:jc w:val="center"/>
            </w:pPr>
            <w:r>
              <w:rPr>
                <w:sz w:val="24"/>
              </w:rPr>
              <w:t xml:space="preserve">489,28</w:t>
            </w:r>
          </w:p>
        </w:tc>
        <w:tc>
          <w:tcPr>
            <w:tcW w:w="1701" w:type="dxa"/>
          </w:tcPr>
          <w:p>
            <w:pPr>
              <w:pStyle w:val="0"/>
              <w:jc w:val="center"/>
            </w:pPr>
            <w:r>
              <w:rPr>
                <w:sz w:val="24"/>
              </w:rPr>
              <w:t xml:space="preserve">2541,00</w:t>
            </w:r>
          </w:p>
        </w:tc>
        <w:tc>
          <w:tcPr>
            <w:tcW w:w="2268" w:type="dxa"/>
          </w:tcPr>
          <w:p>
            <w:pPr>
              <w:pStyle w:val="0"/>
              <w:jc w:val="center"/>
            </w:pPr>
            <w:r>
              <w:rPr>
                <w:sz w:val="24"/>
              </w:rPr>
              <w:t xml:space="preserve">X</w:t>
            </w:r>
          </w:p>
        </w:tc>
        <w:tc>
          <w:tcPr>
            <w:tcW w:w="1928" w:type="dxa"/>
          </w:tcPr>
          <w:p>
            <w:pPr>
              <w:pStyle w:val="0"/>
              <w:jc w:val="center"/>
            </w:pPr>
            <w:r>
              <w:rPr>
                <w:sz w:val="24"/>
              </w:rPr>
              <w:t xml:space="preserve">X</w:t>
            </w:r>
          </w:p>
        </w:tc>
      </w:tr>
      <w:tr>
        <w:tc>
          <w:tcPr>
            <w:tcW w:w="567" w:type="dxa"/>
          </w:tcPr>
          <w:p>
            <w:pPr>
              <w:pStyle w:val="0"/>
              <w:jc w:val="both"/>
            </w:pPr>
            <w:r>
              <w:rPr>
                <w:sz w:val="24"/>
              </w:rPr>
              <w:t xml:space="preserve">29</w:t>
            </w:r>
          </w:p>
        </w:tc>
        <w:tc>
          <w:tcPr>
            <w:tcW w:w="2551" w:type="dxa"/>
          </w:tcPr>
          <w:p>
            <w:pPr>
              <w:pStyle w:val="0"/>
              <w:jc w:val="both"/>
            </w:pPr>
            <w:r>
              <w:rPr>
                <w:sz w:val="24"/>
              </w:rPr>
              <w:t xml:space="preserve">Лежневское городское поселение</w:t>
            </w:r>
          </w:p>
        </w:tc>
        <w:tc>
          <w:tcPr>
            <w:tcW w:w="2665" w:type="dxa"/>
          </w:tcPr>
          <w:p>
            <w:pPr>
              <w:pStyle w:val="0"/>
              <w:jc w:val="both"/>
            </w:pPr>
            <w:r>
              <w:rPr>
                <w:sz w:val="24"/>
              </w:rPr>
              <w:t xml:space="preserve">п. Лежнево, ул. Островского, д. 5</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1934</w:t>
            </w:r>
          </w:p>
        </w:tc>
        <w:tc>
          <w:tcPr>
            <w:tcW w:w="1304" w:type="dxa"/>
          </w:tcPr>
          <w:p>
            <w:pPr>
              <w:pStyle w:val="0"/>
              <w:jc w:val="center"/>
            </w:pPr>
            <w:r>
              <w:rPr>
                <w:sz w:val="24"/>
              </w:rPr>
              <w:t xml:space="preserve">04.09.2019</w:t>
            </w:r>
          </w:p>
        </w:tc>
        <w:tc>
          <w:tcPr>
            <w:tcW w:w="1304" w:type="dxa"/>
          </w:tcPr>
          <w:p>
            <w:pPr>
              <w:pStyle w:val="0"/>
              <w:jc w:val="center"/>
            </w:pPr>
            <w:r>
              <w:rPr>
                <w:sz w:val="24"/>
              </w:rPr>
              <w:t xml:space="preserve">51,70</w:t>
            </w:r>
          </w:p>
        </w:tc>
        <w:tc>
          <w:tcPr>
            <w:tcW w:w="1020" w:type="dxa"/>
          </w:tcPr>
          <w:p>
            <w:pPr>
              <w:pStyle w:val="0"/>
              <w:jc w:val="center"/>
            </w:pPr>
            <w:r>
              <w:rPr>
                <w:sz w:val="24"/>
              </w:rPr>
              <w:t xml:space="preserve">4</w:t>
            </w:r>
          </w:p>
        </w:tc>
        <w:tc>
          <w:tcPr>
            <w:tcW w:w="1077" w:type="dxa"/>
          </w:tcPr>
          <w:p>
            <w:pPr>
              <w:pStyle w:val="0"/>
              <w:jc w:val="center"/>
            </w:pPr>
            <w:r>
              <w:rPr>
                <w:sz w:val="24"/>
              </w:rPr>
              <w:t xml:space="preserve">1</w:t>
            </w:r>
          </w:p>
        </w:tc>
        <w:tc>
          <w:tcPr>
            <w:tcW w:w="1531" w:type="dxa"/>
          </w:tcPr>
          <w:p>
            <w:pPr>
              <w:pStyle w:val="0"/>
              <w:jc w:val="center"/>
            </w:pPr>
            <w:r>
              <w:rPr>
                <w:sz w:val="24"/>
              </w:rPr>
              <w:t xml:space="preserve">01.10.2028</w:t>
            </w:r>
          </w:p>
        </w:tc>
        <w:tc>
          <w:tcPr>
            <w:tcW w:w="1417" w:type="dxa"/>
          </w:tcPr>
          <w:p>
            <w:pPr>
              <w:pStyle w:val="0"/>
              <w:jc w:val="center"/>
            </w:pPr>
            <w:r>
              <w:rPr>
                <w:sz w:val="24"/>
              </w:rPr>
              <w:t xml:space="preserve">244,64</w:t>
            </w:r>
          </w:p>
        </w:tc>
        <w:tc>
          <w:tcPr>
            <w:tcW w:w="1701" w:type="dxa"/>
          </w:tcPr>
          <w:p>
            <w:pPr>
              <w:pStyle w:val="0"/>
              <w:jc w:val="center"/>
            </w:pPr>
            <w:r>
              <w:rPr>
                <w:sz w:val="24"/>
              </w:rPr>
              <w:t xml:space="preserve">1305,00</w:t>
            </w:r>
          </w:p>
        </w:tc>
        <w:tc>
          <w:tcPr>
            <w:tcW w:w="2268" w:type="dxa"/>
          </w:tcPr>
          <w:p>
            <w:pPr>
              <w:pStyle w:val="0"/>
              <w:jc w:val="center"/>
            </w:pPr>
            <w:r>
              <w:rPr>
                <w:sz w:val="24"/>
              </w:rPr>
            </w:r>
          </w:p>
        </w:tc>
        <w:tc>
          <w:tcPr>
            <w:tcW w:w="1928" w:type="dxa"/>
          </w:tcPr>
          <w:p>
            <w:pPr>
              <w:pStyle w:val="0"/>
              <w:jc w:val="both"/>
            </w:pPr>
            <w:r>
              <w:rPr>
                <w:sz w:val="24"/>
              </w:rPr>
              <w:t xml:space="preserve">Не сформирован</w:t>
            </w:r>
          </w:p>
        </w:tc>
      </w:tr>
      <w:tr>
        <w:tc>
          <w:tcPr>
            <w:tcW w:w="567" w:type="dxa"/>
          </w:tcPr>
          <w:p>
            <w:pPr>
              <w:pStyle w:val="0"/>
              <w:jc w:val="both"/>
            </w:pPr>
            <w:r>
              <w:rPr>
                <w:sz w:val="24"/>
              </w:rPr>
              <w:t xml:space="preserve">30</w:t>
            </w:r>
          </w:p>
        </w:tc>
        <w:tc>
          <w:tcPr>
            <w:tcW w:w="2551" w:type="dxa"/>
          </w:tcPr>
          <w:p>
            <w:pPr>
              <w:pStyle w:val="0"/>
              <w:jc w:val="both"/>
            </w:pPr>
            <w:r>
              <w:rPr>
                <w:sz w:val="24"/>
              </w:rPr>
              <w:t xml:space="preserve">Лежневское городское поселение</w:t>
            </w:r>
          </w:p>
        </w:tc>
        <w:tc>
          <w:tcPr>
            <w:tcW w:w="2665" w:type="dxa"/>
          </w:tcPr>
          <w:p>
            <w:pPr>
              <w:pStyle w:val="0"/>
              <w:jc w:val="both"/>
            </w:pPr>
            <w:r>
              <w:rPr>
                <w:sz w:val="24"/>
              </w:rPr>
              <w:t xml:space="preserve">п. Лежнево, ул. Островского, д. 9</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1934</w:t>
            </w:r>
          </w:p>
        </w:tc>
        <w:tc>
          <w:tcPr>
            <w:tcW w:w="1304" w:type="dxa"/>
          </w:tcPr>
          <w:p>
            <w:pPr>
              <w:pStyle w:val="0"/>
              <w:jc w:val="center"/>
            </w:pPr>
            <w:r>
              <w:rPr>
                <w:sz w:val="24"/>
              </w:rPr>
              <w:t xml:space="preserve">11.05.2018</w:t>
            </w:r>
          </w:p>
        </w:tc>
        <w:tc>
          <w:tcPr>
            <w:tcW w:w="1304" w:type="dxa"/>
          </w:tcPr>
          <w:p>
            <w:pPr>
              <w:pStyle w:val="0"/>
              <w:jc w:val="center"/>
            </w:pPr>
            <w:r>
              <w:rPr>
                <w:sz w:val="24"/>
              </w:rPr>
              <w:t xml:space="preserve">45,10</w:t>
            </w:r>
          </w:p>
        </w:tc>
        <w:tc>
          <w:tcPr>
            <w:tcW w:w="1020" w:type="dxa"/>
          </w:tcPr>
          <w:p>
            <w:pPr>
              <w:pStyle w:val="0"/>
              <w:jc w:val="center"/>
            </w:pPr>
            <w:r>
              <w:rPr>
                <w:sz w:val="24"/>
              </w:rPr>
              <w:t xml:space="preserve">1</w:t>
            </w:r>
          </w:p>
        </w:tc>
        <w:tc>
          <w:tcPr>
            <w:tcW w:w="1077" w:type="dxa"/>
          </w:tcPr>
          <w:p>
            <w:pPr>
              <w:pStyle w:val="0"/>
              <w:jc w:val="center"/>
            </w:pPr>
            <w:r>
              <w:rPr>
                <w:sz w:val="24"/>
              </w:rPr>
              <w:t xml:space="preserve">1</w:t>
            </w:r>
          </w:p>
        </w:tc>
        <w:tc>
          <w:tcPr>
            <w:tcW w:w="1531" w:type="dxa"/>
          </w:tcPr>
          <w:p>
            <w:pPr>
              <w:pStyle w:val="0"/>
              <w:jc w:val="center"/>
            </w:pPr>
            <w:r>
              <w:rPr>
                <w:sz w:val="24"/>
              </w:rPr>
              <w:t xml:space="preserve">01.10.2028</w:t>
            </w:r>
          </w:p>
        </w:tc>
        <w:tc>
          <w:tcPr>
            <w:tcW w:w="1417" w:type="dxa"/>
          </w:tcPr>
          <w:p>
            <w:pPr>
              <w:pStyle w:val="0"/>
              <w:jc w:val="center"/>
            </w:pPr>
            <w:r>
              <w:rPr>
                <w:sz w:val="24"/>
              </w:rPr>
              <w:t xml:space="preserve">244,64</w:t>
            </w:r>
          </w:p>
        </w:tc>
        <w:tc>
          <w:tcPr>
            <w:tcW w:w="1701" w:type="dxa"/>
          </w:tcPr>
          <w:p>
            <w:pPr>
              <w:pStyle w:val="0"/>
              <w:jc w:val="center"/>
            </w:pPr>
            <w:r>
              <w:rPr>
                <w:sz w:val="24"/>
              </w:rPr>
              <w:t xml:space="preserve">1236,00</w:t>
            </w:r>
          </w:p>
        </w:tc>
        <w:tc>
          <w:tcPr>
            <w:tcW w:w="2268" w:type="dxa"/>
          </w:tcPr>
          <w:p>
            <w:pPr>
              <w:pStyle w:val="0"/>
              <w:jc w:val="center"/>
            </w:pPr>
            <w:r>
              <w:rPr>
                <w:sz w:val="24"/>
              </w:rPr>
            </w:r>
          </w:p>
        </w:tc>
        <w:tc>
          <w:tcPr>
            <w:tcW w:w="1928" w:type="dxa"/>
          </w:tcPr>
          <w:p>
            <w:pPr>
              <w:pStyle w:val="0"/>
              <w:jc w:val="both"/>
            </w:pPr>
            <w:r>
              <w:rPr>
                <w:sz w:val="24"/>
              </w:rPr>
              <w:t xml:space="preserve">Не сформирован</w:t>
            </w:r>
          </w:p>
        </w:tc>
      </w:tr>
      <w:tr>
        <w:tc>
          <w:tcPr>
            <w:gridSpan w:val="3"/>
            <w:tcW w:w="5783" w:type="dxa"/>
          </w:tcPr>
          <w:p>
            <w:pPr>
              <w:pStyle w:val="0"/>
              <w:jc w:val="both"/>
            </w:pPr>
            <w:r>
              <w:rPr>
                <w:sz w:val="24"/>
              </w:rPr>
              <w:t xml:space="preserve">Итого по Савинскому муниципальному району</w:t>
            </w:r>
          </w:p>
        </w:tc>
        <w:tc>
          <w:tcPr>
            <w:tcW w:w="1757"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964" w:type="dxa"/>
          </w:tcPr>
          <w:p>
            <w:pPr>
              <w:pStyle w:val="0"/>
              <w:jc w:val="center"/>
            </w:pPr>
            <w:r>
              <w:rPr>
                <w:sz w:val="24"/>
              </w:rPr>
              <w:t xml:space="preserve">X</w:t>
            </w:r>
          </w:p>
        </w:tc>
        <w:tc>
          <w:tcPr>
            <w:tcW w:w="1304" w:type="dxa"/>
          </w:tcPr>
          <w:p>
            <w:pPr>
              <w:pStyle w:val="0"/>
              <w:jc w:val="center"/>
            </w:pPr>
            <w:r>
              <w:rPr>
                <w:sz w:val="24"/>
              </w:rPr>
              <w:t xml:space="preserve">X</w:t>
            </w:r>
          </w:p>
        </w:tc>
        <w:tc>
          <w:tcPr>
            <w:tcW w:w="1304" w:type="dxa"/>
          </w:tcPr>
          <w:p>
            <w:pPr>
              <w:pStyle w:val="0"/>
              <w:jc w:val="center"/>
            </w:pPr>
            <w:r>
              <w:rPr>
                <w:sz w:val="24"/>
              </w:rPr>
              <w:t xml:space="preserve">313,30</w:t>
            </w:r>
          </w:p>
        </w:tc>
        <w:tc>
          <w:tcPr>
            <w:tcW w:w="1020" w:type="dxa"/>
          </w:tcPr>
          <w:p>
            <w:pPr>
              <w:pStyle w:val="0"/>
              <w:jc w:val="center"/>
            </w:pPr>
            <w:r>
              <w:rPr>
                <w:sz w:val="24"/>
              </w:rPr>
              <w:t xml:space="preserve">14</w:t>
            </w:r>
          </w:p>
        </w:tc>
        <w:tc>
          <w:tcPr>
            <w:tcW w:w="1077" w:type="dxa"/>
          </w:tcPr>
          <w:p>
            <w:pPr>
              <w:pStyle w:val="0"/>
              <w:jc w:val="center"/>
            </w:pPr>
            <w:r>
              <w:rPr>
                <w:sz w:val="24"/>
              </w:rPr>
              <w:t xml:space="preserve">8</w:t>
            </w:r>
          </w:p>
        </w:tc>
        <w:tc>
          <w:tcPr>
            <w:tcW w:w="1531" w:type="dxa"/>
          </w:tcPr>
          <w:p>
            <w:pPr>
              <w:pStyle w:val="0"/>
              <w:jc w:val="center"/>
            </w:pPr>
            <w:r>
              <w:rPr>
                <w:sz w:val="24"/>
              </w:rPr>
              <w:t xml:space="preserve">X</w:t>
            </w:r>
          </w:p>
        </w:tc>
        <w:tc>
          <w:tcPr>
            <w:tcW w:w="1417" w:type="dxa"/>
          </w:tcPr>
          <w:p>
            <w:pPr>
              <w:pStyle w:val="0"/>
              <w:jc w:val="center"/>
            </w:pPr>
            <w:r>
              <w:rPr>
                <w:sz w:val="24"/>
              </w:rPr>
              <w:t xml:space="preserve">313,30</w:t>
            </w:r>
          </w:p>
        </w:tc>
        <w:tc>
          <w:tcPr>
            <w:tcW w:w="1701" w:type="dxa"/>
          </w:tcPr>
          <w:p>
            <w:pPr>
              <w:pStyle w:val="0"/>
              <w:jc w:val="center"/>
            </w:pPr>
            <w:r>
              <w:rPr>
                <w:sz w:val="24"/>
              </w:rPr>
              <w:t xml:space="preserve">1786,00</w:t>
            </w:r>
          </w:p>
        </w:tc>
        <w:tc>
          <w:tcPr>
            <w:tcW w:w="2268" w:type="dxa"/>
          </w:tcPr>
          <w:p>
            <w:pPr>
              <w:pStyle w:val="0"/>
              <w:jc w:val="center"/>
            </w:pPr>
            <w:r>
              <w:rPr>
                <w:sz w:val="24"/>
              </w:rPr>
              <w:t xml:space="preserve">X</w:t>
            </w:r>
          </w:p>
        </w:tc>
        <w:tc>
          <w:tcPr>
            <w:tcW w:w="1928" w:type="dxa"/>
          </w:tcPr>
          <w:p>
            <w:pPr>
              <w:pStyle w:val="0"/>
              <w:jc w:val="center"/>
            </w:pPr>
            <w:r>
              <w:rPr>
                <w:sz w:val="24"/>
              </w:rPr>
              <w:t xml:space="preserve">X</w:t>
            </w:r>
          </w:p>
        </w:tc>
      </w:tr>
      <w:tr>
        <w:tc>
          <w:tcPr>
            <w:tcW w:w="567" w:type="dxa"/>
          </w:tcPr>
          <w:p>
            <w:pPr>
              <w:pStyle w:val="0"/>
              <w:jc w:val="both"/>
            </w:pPr>
            <w:r>
              <w:rPr>
                <w:sz w:val="24"/>
              </w:rPr>
              <w:t xml:space="preserve">31</w:t>
            </w:r>
          </w:p>
        </w:tc>
        <w:tc>
          <w:tcPr>
            <w:tcW w:w="2551" w:type="dxa"/>
          </w:tcPr>
          <w:p>
            <w:pPr>
              <w:pStyle w:val="0"/>
              <w:jc w:val="both"/>
            </w:pPr>
            <w:r>
              <w:rPr>
                <w:sz w:val="24"/>
              </w:rPr>
              <w:t xml:space="preserve">Савинское городское поселение</w:t>
            </w:r>
          </w:p>
        </w:tc>
        <w:tc>
          <w:tcPr>
            <w:tcW w:w="2665" w:type="dxa"/>
          </w:tcPr>
          <w:p>
            <w:pPr>
              <w:pStyle w:val="0"/>
              <w:jc w:val="both"/>
            </w:pPr>
            <w:r>
              <w:rPr>
                <w:sz w:val="24"/>
              </w:rPr>
              <w:t xml:space="preserve">п. Савино, ул. Пионерская, д. 2а</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1962</w:t>
            </w:r>
          </w:p>
        </w:tc>
        <w:tc>
          <w:tcPr>
            <w:tcW w:w="1304" w:type="dxa"/>
          </w:tcPr>
          <w:p>
            <w:pPr>
              <w:pStyle w:val="0"/>
              <w:jc w:val="center"/>
            </w:pPr>
            <w:r>
              <w:rPr>
                <w:sz w:val="24"/>
              </w:rPr>
              <w:t xml:space="preserve">14.08.2023</w:t>
            </w:r>
          </w:p>
        </w:tc>
        <w:tc>
          <w:tcPr>
            <w:tcW w:w="1304" w:type="dxa"/>
          </w:tcPr>
          <w:p>
            <w:pPr>
              <w:pStyle w:val="0"/>
              <w:jc w:val="center"/>
            </w:pPr>
            <w:r>
              <w:rPr>
                <w:sz w:val="24"/>
              </w:rPr>
              <w:t xml:space="preserve">313,30</w:t>
            </w:r>
          </w:p>
        </w:tc>
        <w:tc>
          <w:tcPr>
            <w:tcW w:w="1020" w:type="dxa"/>
          </w:tcPr>
          <w:p>
            <w:pPr>
              <w:pStyle w:val="0"/>
              <w:jc w:val="center"/>
            </w:pPr>
            <w:r>
              <w:rPr>
                <w:sz w:val="24"/>
              </w:rPr>
              <w:t xml:space="preserve">14</w:t>
            </w:r>
          </w:p>
        </w:tc>
        <w:tc>
          <w:tcPr>
            <w:tcW w:w="1077" w:type="dxa"/>
          </w:tcPr>
          <w:p>
            <w:pPr>
              <w:pStyle w:val="0"/>
              <w:jc w:val="center"/>
            </w:pPr>
            <w:r>
              <w:rPr>
                <w:sz w:val="24"/>
              </w:rPr>
              <w:t xml:space="preserve">8</w:t>
            </w:r>
          </w:p>
        </w:tc>
        <w:tc>
          <w:tcPr>
            <w:tcW w:w="1531" w:type="dxa"/>
          </w:tcPr>
          <w:p>
            <w:pPr>
              <w:pStyle w:val="0"/>
              <w:jc w:val="center"/>
            </w:pPr>
            <w:r>
              <w:rPr>
                <w:sz w:val="24"/>
              </w:rPr>
              <w:t xml:space="preserve">31.12.2026</w:t>
            </w:r>
          </w:p>
        </w:tc>
        <w:tc>
          <w:tcPr>
            <w:tcW w:w="1417" w:type="dxa"/>
          </w:tcPr>
          <w:p>
            <w:pPr>
              <w:pStyle w:val="0"/>
              <w:jc w:val="center"/>
            </w:pPr>
            <w:r>
              <w:rPr>
                <w:sz w:val="24"/>
              </w:rPr>
              <w:t xml:space="preserve">313,30</w:t>
            </w:r>
          </w:p>
        </w:tc>
        <w:tc>
          <w:tcPr>
            <w:tcW w:w="1701" w:type="dxa"/>
          </w:tcPr>
          <w:p>
            <w:pPr>
              <w:pStyle w:val="0"/>
              <w:jc w:val="center"/>
            </w:pPr>
            <w:r>
              <w:rPr>
                <w:sz w:val="24"/>
              </w:rPr>
              <w:t xml:space="preserve">1786,00</w:t>
            </w:r>
          </w:p>
        </w:tc>
        <w:tc>
          <w:tcPr>
            <w:tcW w:w="2268" w:type="dxa"/>
          </w:tcPr>
          <w:p>
            <w:pPr>
              <w:pStyle w:val="0"/>
              <w:jc w:val="center"/>
            </w:pPr>
            <w:r>
              <w:rPr>
                <w:sz w:val="24"/>
              </w:rPr>
              <w:t xml:space="preserve">37:16:020111:131</w:t>
            </w:r>
          </w:p>
        </w:tc>
        <w:tc>
          <w:tcPr>
            <w:tcW w:w="1928" w:type="dxa"/>
          </w:tcPr>
          <w:p>
            <w:pPr>
              <w:pStyle w:val="0"/>
              <w:jc w:val="both"/>
            </w:pPr>
            <w:r>
              <w:rPr>
                <w:sz w:val="24"/>
              </w:rPr>
              <w:t xml:space="preserve">Сформирован под одним домом</w:t>
            </w:r>
          </w:p>
        </w:tc>
      </w:tr>
      <w:tr>
        <w:tc>
          <w:tcPr>
            <w:gridSpan w:val="3"/>
            <w:tcW w:w="5783" w:type="dxa"/>
          </w:tcPr>
          <w:p>
            <w:pPr>
              <w:pStyle w:val="0"/>
              <w:jc w:val="both"/>
            </w:pPr>
            <w:r>
              <w:rPr>
                <w:sz w:val="24"/>
              </w:rPr>
              <w:t xml:space="preserve">Итого по Фурмановскому муниципальному району</w:t>
            </w:r>
          </w:p>
        </w:tc>
        <w:tc>
          <w:tcPr>
            <w:tcW w:w="1757" w:type="dxa"/>
          </w:tcPr>
          <w:p>
            <w:pPr>
              <w:pStyle w:val="0"/>
              <w:jc w:val="center"/>
            </w:pPr>
            <w:r>
              <w:rPr>
                <w:sz w:val="24"/>
              </w:rPr>
              <w:t xml:space="preserve">X</w:t>
            </w:r>
          </w:p>
        </w:tc>
        <w:tc>
          <w:tcPr>
            <w:tcW w:w="1417" w:type="dxa"/>
          </w:tcPr>
          <w:p>
            <w:pPr>
              <w:pStyle w:val="0"/>
              <w:jc w:val="center"/>
            </w:pPr>
            <w:r>
              <w:rPr>
                <w:sz w:val="24"/>
              </w:rPr>
              <w:t xml:space="preserve">X</w:t>
            </w:r>
          </w:p>
        </w:tc>
        <w:tc>
          <w:tcPr>
            <w:tcW w:w="1417" w:type="dxa"/>
          </w:tcPr>
          <w:p>
            <w:pPr>
              <w:pStyle w:val="0"/>
              <w:jc w:val="center"/>
            </w:pPr>
            <w:r>
              <w:rPr>
                <w:sz w:val="24"/>
              </w:rPr>
              <w:t xml:space="preserve">X</w:t>
            </w:r>
          </w:p>
        </w:tc>
        <w:tc>
          <w:tcPr>
            <w:tcW w:w="964" w:type="dxa"/>
          </w:tcPr>
          <w:p>
            <w:pPr>
              <w:pStyle w:val="0"/>
              <w:jc w:val="center"/>
            </w:pPr>
            <w:r>
              <w:rPr>
                <w:sz w:val="24"/>
              </w:rPr>
              <w:t xml:space="preserve">X</w:t>
            </w:r>
          </w:p>
        </w:tc>
        <w:tc>
          <w:tcPr>
            <w:tcW w:w="1304" w:type="dxa"/>
          </w:tcPr>
          <w:p>
            <w:pPr>
              <w:pStyle w:val="0"/>
              <w:jc w:val="center"/>
            </w:pPr>
            <w:r>
              <w:rPr>
                <w:sz w:val="24"/>
              </w:rPr>
              <w:t xml:space="preserve">X</w:t>
            </w:r>
          </w:p>
        </w:tc>
        <w:tc>
          <w:tcPr>
            <w:tcW w:w="1304" w:type="dxa"/>
          </w:tcPr>
          <w:p>
            <w:pPr>
              <w:pStyle w:val="0"/>
              <w:jc w:val="center"/>
            </w:pPr>
            <w:r>
              <w:rPr>
                <w:sz w:val="24"/>
              </w:rPr>
              <w:t xml:space="preserve">348,80</w:t>
            </w:r>
          </w:p>
        </w:tc>
        <w:tc>
          <w:tcPr>
            <w:tcW w:w="1020" w:type="dxa"/>
          </w:tcPr>
          <w:p>
            <w:pPr>
              <w:pStyle w:val="0"/>
              <w:jc w:val="center"/>
            </w:pPr>
            <w:r>
              <w:rPr>
                <w:sz w:val="24"/>
              </w:rPr>
              <w:t xml:space="preserve">19</w:t>
            </w:r>
          </w:p>
        </w:tc>
        <w:tc>
          <w:tcPr>
            <w:tcW w:w="1077" w:type="dxa"/>
          </w:tcPr>
          <w:p>
            <w:pPr>
              <w:pStyle w:val="0"/>
              <w:jc w:val="center"/>
            </w:pPr>
            <w:r>
              <w:rPr>
                <w:sz w:val="24"/>
              </w:rPr>
              <w:t xml:space="preserve">8</w:t>
            </w:r>
          </w:p>
        </w:tc>
        <w:tc>
          <w:tcPr>
            <w:tcW w:w="1531" w:type="dxa"/>
          </w:tcPr>
          <w:p>
            <w:pPr>
              <w:pStyle w:val="0"/>
              <w:jc w:val="center"/>
            </w:pPr>
            <w:r>
              <w:rPr>
                <w:sz w:val="24"/>
              </w:rPr>
              <w:t xml:space="preserve">X</w:t>
            </w:r>
          </w:p>
        </w:tc>
        <w:tc>
          <w:tcPr>
            <w:tcW w:w="1417" w:type="dxa"/>
          </w:tcPr>
          <w:p>
            <w:pPr>
              <w:pStyle w:val="0"/>
              <w:jc w:val="center"/>
            </w:pPr>
            <w:r>
              <w:rPr>
                <w:sz w:val="24"/>
              </w:rPr>
              <w:t xml:space="preserve">592,60</w:t>
            </w:r>
          </w:p>
        </w:tc>
        <w:tc>
          <w:tcPr>
            <w:tcW w:w="1701" w:type="dxa"/>
          </w:tcPr>
          <w:p>
            <w:pPr>
              <w:pStyle w:val="0"/>
              <w:jc w:val="center"/>
            </w:pPr>
            <w:r>
              <w:rPr>
                <w:sz w:val="24"/>
              </w:rPr>
              <w:t xml:space="preserve">1315,00</w:t>
            </w:r>
          </w:p>
        </w:tc>
        <w:tc>
          <w:tcPr>
            <w:tcW w:w="2268" w:type="dxa"/>
          </w:tcPr>
          <w:p>
            <w:pPr>
              <w:pStyle w:val="0"/>
              <w:jc w:val="center"/>
            </w:pPr>
            <w:r>
              <w:rPr>
                <w:sz w:val="24"/>
              </w:rPr>
              <w:t xml:space="preserve">X</w:t>
            </w:r>
          </w:p>
        </w:tc>
        <w:tc>
          <w:tcPr>
            <w:tcW w:w="1928" w:type="dxa"/>
          </w:tcPr>
          <w:p>
            <w:pPr>
              <w:pStyle w:val="0"/>
              <w:jc w:val="center"/>
            </w:pPr>
            <w:r>
              <w:rPr>
                <w:sz w:val="24"/>
              </w:rPr>
              <w:t xml:space="preserve">X</w:t>
            </w:r>
          </w:p>
        </w:tc>
      </w:tr>
      <w:tr>
        <w:tc>
          <w:tcPr>
            <w:tcW w:w="567" w:type="dxa"/>
          </w:tcPr>
          <w:p>
            <w:pPr>
              <w:pStyle w:val="0"/>
              <w:jc w:val="both"/>
            </w:pPr>
            <w:r>
              <w:rPr>
                <w:sz w:val="24"/>
              </w:rPr>
              <w:t xml:space="preserve">32</w:t>
            </w:r>
          </w:p>
        </w:tc>
        <w:tc>
          <w:tcPr>
            <w:tcW w:w="2551" w:type="dxa"/>
          </w:tcPr>
          <w:p>
            <w:pPr>
              <w:pStyle w:val="0"/>
              <w:jc w:val="both"/>
            </w:pPr>
            <w:r>
              <w:rPr>
                <w:sz w:val="24"/>
              </w:rPr>
              <w:t xml:space="preserve">Фурмановское городское поселение</w:t>
            </w:r>
          </w:p>
        </w:tc>
        <w:tc>
          <w:tcPr>
            <w:tcW w:w="2665" w:type="dxa"/>
          </w:tcPr>
          <w:p>
            <w:pPr>
              <w:pStyle w:val="0"/>
              <w:jc w:val="both"/>
            </w:pPr>
            <w:r>
              <w:rPr>
                <w:sz w:val="24"/>
              </w:rPr>
              <w:t xml:space="preserve">г. Фурманов, ул. Социалистический Поселок, д. 14</w:t>
            </w:r>
          </w:p>
        </w:tc>
        <w:tc>
          <w:tcPr>
            <w:tcW w:w="1757" w:type="dxa"/>
          </w:tcPr>
          <w:p>
            <w:pPr>
              <w:pStyle w:val="0"/>
              <w:jc w:val="both"/>
            </w:pPr>
            <w:r>
              <w:rPr>
                <w:sz w:val="24"/>
              </w:rPr>
              <w:t xml:space="preserve">Многоквартирный дом</w:t>
            </w:r>
          </w:p>
        </w:tc>
        <w:tc>
          <w:tcPr>
            <w:tcW w:w="1417" w:type="dxa"/>
          </w:tcPr>
          <w:p>
            <w:pPr>
              <w:pStyle w:val="0"/>
              <w:jc w:val="both"/>
            </w:pPr>
            <w:r>
              <w:rPr>
                <w:sz w:val="24"/>
              </w:rPr>
              <w:t xml:space="preserve">Аварийный</w:t>
            </w:r>
          </w:p>
        </w:tc>
        <w:tc>
          <w:tcPr>
            <w:tcW w:w="1417" w:type="dxa"/>
          </w:tcPr>
          <w:p>
            <w:pPr>
              <w:pStyle w:val="0"/>
              <w:jc w:val="both"/>
            </w:pPr>
            <w:r>
              <w:rPr>
                <w:sz w:val="24"/>
              </w:rPr>
              <w:t xml:space="preserve">Нет</w:t>
            </w:r>
          </w:p>
        </w:tc>
        <w:tc>
          <w:tcPr>
            <w:tcW w:w="964" w:type="dxa"/>
          </w:tcPr>
          <w:p>
            <w:pPr>
              <w:pStyle w:val="0"/>
              <w:jc w:val="center"/>
            </w:pPr>
            <w:r>
              <w:rPr>
                <w:sz w:val="24"/>
              </w:rPr>
              <w:t xml:space="preserve">1952</w:t>
            </w:r>
          </w:p>
        </w:tc>
        <w:tc>
          <w:tcPr>
            <w:tcW w:w="1304" w:type="dxa"/>
          </w:tcPr>
          <w:p>
            <w:pPr>
              <w:pStyle w:val="0"/>
              <w:jc w:val="center"/>
            </w:pPr>
            <w:r>
              <w:rPr>
                <w:sz w:val="24"/>
              </w:rPr>
              <w:t xml:space="preserve">11.01.2022</w:t>
            </w:r>
          </w:p>
        </w:tc>
        <w:tc>
          <w:tcPr>
            <w:tcW w:w="1304" w:type="dxa"/>
          </w:tcPr>
          <w:p>
            <w:pPr>
              <w:pStyle w:val="0"/>
              <w:jc w:val="center"/>
            </w:pPr>
            <w:r>
              <w:rPr>
                <w:sz w:val="24"/>
              </w:rPr>
              <w:t xml:space="preserve">348,80</w:t>
            </w:r>
          </w:p>
        </w:tc>
        <w:tc>
          <w:tcPr>
            <w:tcW w:w="1020" w:type="dxa"/>
          </w:tcPr>
          <w:p>
            <w:pPr>
              <w:pStyle w:val="0"/>
              <w:jc w:val="center"/>
            </w:pPr>
            <w:r>
              <w:rPr>
                <w:sz w:val="24"/>
              </w:rPr>
              <w:t xml:space="preserve">19</w:t>
            </w:r>
          </w:p>
        </w:tc>
        <w:tc>
          <w:tcPr>
            <w:tcW w:w="1077" w:type="dxa"/>
          </w:tcPr>
          <w:p>
            <w:pPr>
              <w:pStyle w:val="0"/>
              <w:jc w:val="center"/>
            </w:pPr>
            <w:r>
              <w:rPr>
                <w:sz w:val="24"/>
              </w:rPr>
              <w:t xml:space="preserve">8</w:t>
            </w:r>
          </w:p>
        </w:tc>
        <w:tc>
          <w:tcPr>
            <w:tcW w:w="1531" w:type="dxa"/>
          </w:tcPr>
          <w:p>
            <w:pPr>
              <w:pStyle w:val="0"/>
              <w:jc w:val="center"/>
            </w:pPr>
            <w:r>
              <w:rPr>
                <w:sz w:val="24"/>
              </w:rPr>
              <w:t xml:space="preserve">31.12.2026</w:t>
            </w:r>
          </w:p>
        </w:tc>
        <w:tc>
          <w:tcPr>
            <w:tcW w:w="1417" w:type="dxa"/>
          </w:tcPr>
          <w:p>
            <w:pPr>
              <w:pStyle w:val="0"/>
              <w:jc w:val="center"/>
            </w:pPr>
            <w:r>
              <w:rPr>
                <w:sz w:val="24"/>
              </w:rPr>
              <w:t xml:space="preserve">592,60</w:t>
            </w:r>
          </w:p>
        </w:tc>
        <w:tc>
          <w:tcPr>
            <w:tcW w:w="1701" w:type="dxa"/>
          </w:tcPr>
          <w:p>
            <w:pPr>
              <w:pStyle w:val="0"/>
              <w:jc w:val="center"/>
            </w:pPr>
            <w:r>
              <w:rPr>
                <w:sz w:val="24"/>
              </w:rPr>
              <w:t xml:space="preserve">1315,00</w:t>
            </w:r>
          </w:p>
        </w:tc>
        <w:tc>
          <w:tcPr>
            <w:tcW w:w="2268" w:type="dxa"/>
          </w:tcPr>
          <w:p>
            <w:pPr>
              <w:pStyle w:val="0"/>
              <w:jc w:val="center"/>
            </w:pPr>
            <w:r>
              <w:rPr>
                <w:sz w:val="24"/>
              </w:rPr>
              <w:t xml:space="preserve">37:27:010604:12</w:t>
            </w:r>
          </w:p>
        </w:tc>
        <w:tc>
          <w:tcPr>
            <w:tcW w:w="1928" w:type="dxa"/>
          </w:tcPr>
          <w:p>
            <w:pPr>
              <w:pStyle w:val="0"/>
              <w:jc w:val="both"/>
            </w:pPr>
            <w:r>
              <w:rPr>
                <w:sz w:val="24"/>
              </w:rPr>
              <w:t xml:space="preserve">Сформирован под одним домом</w:t>
            </w:r>
          </w:p>
        </w:tc>
      </w:tr>
    </w:tbl>
    <w:p>
      <w:pPr>
        <w:sectPr>
          <w:headerReference w:type="default" r:id="rId118"/>
          <w:headerReference w:type="first" r:id="rId118"/>
          <w:footerReference w:type="default" r:id="rId119"/>
          <w:footerReference w:type="first" r:id="rId119"/>
          <w:pgSz w:w="16838" w:h="11906" w:orient="landscape"/>
          <w:pgMar w:top="1133" w:right="397" w:bottom="566" w:left="397" w:header="0" w:footer="0" w:gutter="0"/>
          <w:titlePg/>
        </w:sectPr>
      </w:pP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1"/>
        <w:jc w:val="right"/>
      </w:pPr>
      <w:r>
        <w:rPr>
          <w:sz w:val="24"/>
        </w:rPr>
        <w:t xml:space="preserve">Приложение 2</w:t>
      </w:r>
    </w:p>
    <w:p>
      <w:pPr>
        <w:pStyle w:val="0"/>
        <w:jc w:val="right"/>
      </w:pPr>
      <w:r>
        <w:rPr>
          <w:sz w:val="24"/>
        </w:rPr>
        <w:t xml:space="preserve">к Программе</w:t>
      </w:r>
    </w:p>
    <w:p>
      <w:pPr>
        <w:pStyle w:val="0"/>
        <w:jc w:val="center"/>
      </w:pPr>
      <w:r>
        <w:rPr>
          <w:sz w:val="24"/>
        </w:rPr>
      </w:r>
    </w:p>
    <w:bookmarkStart w:id="1045" w:name="P1045"/>
    <w:bookmarkEnd w:id="1045"/>
    <w:p>
      <w:pPr>
        <w:pStyle w:val="2"/>
        <w:jc w:val="center"/>
      </w:pPr>
      <w:r>
        <w:rPr>
          <w:sz w:val="24"/>
        </w:rPr>
        <w:t xml:space="preserve">План реализации мероприятий по переселению граждан</w:t>
      </w:r>
    </w:p>
    <w:p>
      <w:pPr>
        <w:pStyle w:val="2"/>
        <w:jc w:val="center"/>
      </w:pPr>
      <w:r>
        <w:rPr>
          <w:sz w:val="24"/>
        </w:rPr>
        <w:t xml:space="preserve">из аварийного жилищного фонда по способам переселения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0"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color w:val="392c69"/>
              </w:rPr>
              <w:t xml:space="preserve"> Правительства Ивановской области</w:t>
            </w:r>
          </w:p>
          <w:p>
            <w:pPr>
              <w:pStyle w:val="0"/>
              <w:jc w:val="center"/>
            </w:pPr>
            <w:r>
              <w:rPr>
                <w:sz w:val="24"/>
                <w:color w:val="392c69"/>
              </w:rPr>
              <w:t xml:space="preserve">от 22.05.2026 N 204-п)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154"/>
        <w:gridCol w:w="1077"/>
        <w:gridCol w:w="1587"/>
        <w:gridCol w:w="1020"/>
        <w:gridCol w:w="1020"/>
        <w:gridCol w:w="1531"/>
        <w:gridCol w:w="1077"/>
        <w:gridCol w:w="907"/>
        <w:gridCol w:w="794"/>
        <w:gridCol w:w="907"/>
        <w:gridCol w:w="1020"/>
        <w:gridCol w:w="964"/>
        <w:gridCol w:w="1020"/>
        <w:gridCol w:w="1020"/>
        <w:gridCol w:w="1587"/>
        <w:gridCol w:w="794"/>
        <w:gridCol w:w="849"/>
        <w:gridCol w:w="794"/>
        <w:gridCol w:w="794"/>
        <w:gridCol w:w="849"/>
        <w:gridCol w:w="794"/>
        <w:gridCol w:w="1020"/>
        <w:gridCol w:w="1531"/>
        <w:gridCol w:w="1020"/>
        <w:gridCol w:w="1020"/>
        <w:gridCol w:w="1020"/>
        <w:gridCol w:w="1020"/>
        <w:gridCol w:w="850"/>
      </w:tblGrid>
      <w:tr>
        <w:tc>
          <w:tcPr>
            <w:tcW w:w="567" w:type="dxa"/>
            <w:vMerge w:val="restart"/>
          </w:tcPr>
          <w:p>
            <w:pPr>
              <w:pStyle w:val="0"/>
              <w:jc w:val="center"/>
            </w:pPr>
            <w:r>
              <w:rPr>
                <w:sz w:val="24"/>
              </w:rPr>
              <w:t xml:space="preserve">N п/п</w:t>
            </w:r>
          </w:p>
        </w:tc>
        <w:tc>
          <w:tcPr>
            <w:tcW w:w="2154" w:type="dxa"/>
            <w:vMerge w:val="restart"/>
          </w:tcPr>
          <w:p>
            <w:pPr>
              <w:pStyle w:val="0"/>
              <w:jc w:val="center"/>
            </w:pPr>
            <w:r>
              <w:rPr>
                <w:sz w:val="24"/>
              </w:rPr>
              <w:t xml:space="preserve">Наименование муниципального образования Ивановской области</w:t>
            </w:r>
          </w:p>
        </w:tc>
        <w:tc>
          <w:tcPr>
            <w:tcW w:w="1077" w:type="dxa"/>
            <w:vMerge w:val="restart"/>
          </w:tcPr>
          <w:p>
            <w:pPr>
              <w:pStyle w:val="0"/>
              <w:jc w:val="center"/>
            </w:pPr>
            <w:r>
              <w:rPr>
                <w:sz w:val="24"/>
              </w:rPr>
              <w:t xml:space="preserve">Всего расселяемая площадь жилых помещений</w:t>
            </w:r>
          </w:p>
        </w:tc>
        <w:tc>
          <w:tcPr>
            <w:tcW w:w="1587" w:type="dxa"/>
            <w:vMerge w:val="restart"/>
          </w:tcPr>
          <w:p>
            <w:pPr>
              <w:pStyle w:val="0"/>
              <w:jc w:val="center"/>
            </w:pPr>
            <w:r>
              <w:rPr>
                <w:sz w:val="24"/>
              </w:rPr>
              <w:t xml:space="preserve">Всего стоимость мероприятий по переселению</w:t>
            </w:r>
          </w:p>
        </w:tc>
        <w:tc>
          <w:tcPr>
            <w:gridSpan w:val="9"/>
            <w:tcW w:w="9240" w:type="dxa"/>
          </w:tcPr>
          <w:p>
            <w:pPr>
              <w:pStyle w:val="0"/>
              <w:jc w:val="center"/>
            </w:pPr>
            <w:r>
              <w:rPr>
                <w:sz w:val="24"/>
              </w:rPr>
              <w:t xml:space="preserve">Мероприятия по переселению, не связанные с приобретением жилых помещений</w:t>
            </w:r>
          </w:p>
        </w:tc>
        <w:tc>
          <w:tcPr>
            <w:gridSpan w:val="16"/>
            <w:tcW w:w="15982" w:type="dxa"/>
          </w:tcPr>
          <w:p>
            <w:pPr>
              <w:pStyle w:val="0"/>
              <w:jc w:val="center"/>
            </w:pPr>
            <w:r>
              <w:rPr>
                <w:sz w:val="24"/>
              </w:rPr>
              <w:t xml:space="preserve">Мероприятия по переселению, связанные с приобретением (строительством) жилых помещений</w:t>
            </w:r>
          </w:p>
        </w:tc>
      </w:tr>
      <w:tr>
        <w:tc>
          <w:tcPr>
            <w:vMerge w:val="continue"/>
          </w:tcPr>
          <w:p/>
        </w:tc>
        <w:tc>
          <w:tcPr>
            <w:vMerge w:val="continue"/>
          </w:tcPr>
          <w:p/>
        </w:tc>
        <w:tc>
          <w:tcPr>
            <w:vMerge w:val="continue"/>
          </w:tcPr>
          <w:p/>
        </w:tc>
        <w:tc>
          <w:tcPr>
            <w:vMerge w:val="continue"/>
          </w:tcPr>
          <w:p/>
        </w:tc>
        <w:tc>
          <w:tcPr>
            <w:tcW w:w="1020" w:type="dxa"/>
            <w:vMerge w:val="restart"/>
          </w:tcPr>
          <w:p>
            <w:pPr>
              <w:pStyle w:val="0"/>
              <w:jc w:val="center"/>
            </w:pPr>
            <w:r>
              <w:rPr>
                <w:sz w:val="24"/>
              </w:rPr>
              <w:t xml:space="preserve">всего</w:t>
            </w:r>
          </w:p>
        </w:tc>
        <w:tc>
          <w:tcPr>
            <w:gridSpan w:val="8"/>
            <w:tcW w:w="8220" w:type="dxa"/>
          </w:tcPr>
          <w:p>
            <w:pPr>
              <w:pStyle w:val="0"/>
              <w:jc w:val="center"/>
            </w:pPr>
            <w:r>
              <w:rPr>
                <w:sz w:val="24"/>
              </w:rPr>
              <w:t xml:space="preserve">в том числе</w:t>
            </w:r>
          </w:p>
        </w:tc>
        <w:tc>
          <w:tcPr>
            <w:gridSpan w:val="3"/>
            <w:tcW w:w="3627" w:type="dxa"/>
            <w:vMerge w:val="restart"/>
          </w:tcPr>
          <w:p>
            <w:pPr>
              <w:pStyle w:val="0"/>
              <w:jc w:val="center"/>
            </w:pPr>
            <w:r>
              <w:rPr>
                <w:sz w:val="24"/>
              </w:rPr>
              <w:t xml:space="preserve">всего</w:t>
            </w:r>
          </w:p>
        </w:tc>
        <w:tc>
          <w:tcPr>
            <w:gridSpan w:val="9"/>
            <w:tcW w:w="8445" w:type="dxa"/>
          </w:tcPr>
          <w:p>
            <w:pPr>
              <w:pStyle w:val="0"/>
              <w:jc w:val="center"/>
            </w:pPr>
            <w:r>
              <w:rPr>
                <w:sz w:val="24"/>
              </w:rPr>
              <w:t xml:space="preserve">в том числе</w:t>
            </w:r>
          </w:p>
        </w:tc>
        <w:tc>
          <w:tcPr>
            <w:gridSpan w:val="4"/>
            <w:tcW w:w="3910" w:type="dxa"/>
          </w:tcPr>
          <w:p>
            <w:pPr>
              <w:pStyle w:val="0"/>
              <w:jc w:val="center"/>
            </w:pPr>
            <w:r>
              <w:rPr>
                <w:sz w:val="24"/>
              </w:rPr>
              <w:t xml:space="preserve">дальнейшее использование приобретенных (построенных) жилых помещений</w:t>
            </w:r>
          </w:p>
        </w:tc>
      </w:tr>
      <w:tr>
        <w:tc>
          <w:tcPr>
            <w:vMerge w:val="continue"/>
          </w:tcPr>
          <w:p/>
        </w:tc>
        <w:tc>
          <w:tcPr>
            <w:vMerge w:val="continue"/>
          </w:tcPr>
          <w:p/>
        </w:tc>
        <w:tc>
          <w:tcPr>
            <w:vMerge w:val="continue"/>
          </w:tcPr>
          <w:p/>
        </w:tc>
        <w:tc>
          <w:tcPr>
            <w:vMerge w:val="continue"/>
          </w:tcPr>
          <w:p/>
        </w:tc>
        <w:tc>
          <w:tcPr>
            <w:vMerge w:val="continue"/>
          </w:tcPr>
          <w:p/>
        </w:tc>
        <w:tc>
          <w:tcPr>
            <w:gridSpan w:val="4"/>
            <w:tcW w:w="4535" w:type="dxa"/>
            <w:vMerge w:val="restart"/>
          </w:tcPr>
          <w:p>
            <w:pPr>
              <w:pStyle w:val="0"/>
              <w:jc w:val="center"/>
            </w:pPr>
            <w:r>
              <w:rPr>
                <w:sz w:val="24"/>
              </w:rPr>
              <w:t xml:space="preserve">выплата собственникам жилых помещений возмещения за изымаемые жилые помещения и предоставление субсидий</w:t>
            </w:r>
          </w:p>
        </w:tc>
        <w:tc>
          <w:tcPr>
            <w:gridSpan w:val="2"/>
            <w:tcW w:w="1701" w:type="dxa"/>
            <w:vMerge w:val="restart"/>
          </w:tcPr>
          <w:p>
            <w:pPr>
              <w:pStyle w:val="0"/>
              <w:jc w:val="center"/>
            </w:pPr>
            <w:r>
              <w:rPr>
                <w:sz w:val="24"/>
              </w:rPr>
              <w:t xml:space="preserve">договоры о комплексном развитии территорий</w:t>
            </w:r>
          </w:p>
        </w:tc>
        <w:tc>
          <w:tcPr>
            <w:tcW w:w="1020" w:type="dxa"/>
            <w:vMerge w:val="restart"/>
          </w:tcPr>
          <w:p>
            <w:pPr>
              <w:pStyle w:val="0"/>
              <w:jc w:val="center"/>
            </w:pPr>
            <w:r>
              <w:rPr>
                <w:sz w:val="24"/>
              </w:rPr>
              <w:t xml:space="preserve">переселение в свободный жилищный фонд</w:t>
            </w:r>
          </w:p>
        </w:tc>
        <w:tc>
          <w:tcPr>
            <w:tcW w:w="964" w:type="dxa"/>
            <w:vMerge w:val="restart"/>
          </w:tcPr>
          <w:p>
            <w:pPr>
              <w:pStyle w:val="0"/>
              <w:jc w:val="center"/>
            </w:pPr>
            <w:r>
              <w:rPr>
                <w:sz w:val="24"/>
              </w:rPr>
              <w:t xml:space="preserve">приведение жилых помещений свободного жилищного фонда в состояние, пригодное для постоянного проживания граждан</w:t>
            </w:r>
          </w:p>
        </w:tc>
        <w:tc>
          <w:tcPr>
            <w:gridSpan w:val="3"/>
            <w:vMerge w:val="continue"/>
          </w:tcPr>
          <w:p/>
        </w:tc>
        <w:tc>
          <w:tcPr>
            <w:gridSpan w:val="2"/>
            <w:tcW w:w="1643" w:type="dxa"/>
            <w:vMerge w:val="restart"/>
          </w:tcPr>
          <w:p>
            <w:pPr>
              <w:pStyle w:val="0"/>
              <w:jc w:val="center"/>
            </w:pPr>
            <w:r>
              <w:rPr>
                <w:sz w:val="24"/>
              </w:rPr>
              <w:t xml:space="preserve">строительство домов</w:t>
            </w:r>
          </w:p>
        </w:tc>
        <w:tc>
          <w:tcPr>
            <w:gridSpan w:val="4"/>
            <w:tcW w:w="3231" w:type="dxa"/>
          </w:tcPr>
          <w:p>
            <w:pPr>
              <w:pStyle w:val="0"/>
              <w:jc w:val="center"/>
            </w:pPr>
            <w:r>
              <w:rPr>
                <w:sz w:val="24"/>
              </w:rPr>
              <w:t xml:space="preserve">приобретение жилых помещений у застройщиков</w:t>
            </w:r>
          </w:p>
        </w:tc>
        <w:tc>
          <w:tcPr>
            <w:gridSpan w:val="2"/>
            <w:tcW w:w="2551" w:type="dxa"/>
            <w:vMerge w:val="restart"/>
          </w:tcPr>
          <w:p>
            <w:pPr>
              <w:pStyle w:val="0"/>
              <w:jc w:val="center"/>
            </w:pPr>
            <w:r>
              <w:rPr>
                <w:sz w:val="24"/>
              </w:rPr>
              <w:t xml:space="preserve">приобретение жилых помещений у лиц, не являющихся застройщиками</w:t>
            </w:r>
          </w:p>
        </w:tc>
        <w:tc>
          <w:tcPr>
            <w:tcW w:w="1020" w:type="dxa"/>
            <w:vMerge w:val="restart"/>
          </w:tcPr>
          <w:p>
            <w:pPr>
              <w:pStyle w:val="0"/>
              <w:jc w:val="center"/>
            </w:pPr>
            <w:r>
              <w:rPr>
                <w:sz w:val="24"/>
              </w:rPr>
              <w:t xml:space="preserve">приведение приобретенных жилых помещений в состояние, пригодное для постоянного проживания граждан</w:t>
            </w:r>
          </w:p>
        </w:tc>
        <w:tc>
          <w:tcPr>
            <w:tcW w:w="1020" w:type="dxa"/>
            <w:vMerge w:val="restart"/>
          </w:tcPr>
          <w:p>
            <w:pPr>
              <w:pStyle w:val="0"/>
              <w:jc w:val="center"/>
            </w:pPr>
            <w:r>
              <w:rPr>
                <w:sz w:val="24"/>
              </w:rPr>
              <w:t xml:space="preserve">предоставление по договорам социального найма</w:t>
            </w:r>
          </w:p>
        </w:tc>
        <w:tc>
          <w:tcPr>
            <w:tcW w:w="1020" w:type="dxa"/>
            <w:vMerge w:val="restart"/>
          </w:tcPr>
          <w:p>
            <w:pPr>
              <w:pStyle w:val="0"/>
              <w:jc w:val="center"/>
            </w:pPr>
            <w:r>
              <w:rPr>
                <w:sz w:val="24"/>
              </w:rPr>
              <w:t xml:space="preserve">предоставление по договорам найма жилищного фонда социального использования</w:t>
            </w:r>
          </w:p>
        </w:tc>
        <w:tc>
          <w:tcPr>
            <w:tcW w:w="1020" w:type="dxa"/>
            <w:vMerge w:val="restart"/>
          </w:tcPr>
          <w:p>
            <w:pPr>
              <w:pStyle w:val="0"/>
              <w:jc w:val="center"/>
            </w:pPr>
            <w:r>
              <w:rPr>
                <w:sz w:val="24"/>
              </w:rPr>
              <w:t xml:space="preserve">предоставление по договорам найма жилого помещения маневренного фонда</w:t>
            </w:r>
          </w:p>
        </w:tc>
        <w:tc>
          <w:tcPr>
            <w:tcW w:w="850" w:type="dxa"/>
            <w:vMerge w:val="restart"/>
          </w:tcPr>
          <w:p>
            <w:pPr>
              <w:pStyle w:val="0"/>
              <w:jc w:val="center"/>
            </w:pPr>
            <w:r>
              <w:rPr>
                <w:sz w:val="24"/>
              </w:rPr>
              <w:t xml:space="preserve">предоставление по договорам мены</w:t>
            </w:r>
          </w:p>
        </w:tc>
      </w:tr>
      <w:tr>
        <w:tc>
          <w:tcPr>
            <w:vMerge w:val="continue"/>
          </w:tcPr>
          <w:p/>
        </w:tc>
        <w:tc>
          <w:tcPr>
            <w:vMerge w:val="continue"/>
          </w:tcPr>
          <w:p/>
        </w:tc>
        <w:tc>
          <w:tcPr>
            <w:vMerge w:val="continue"/>
          </w:tcPr>
          <w:p/>
        </w:tc>
        <w:tc>
          <w:tcPr>
            <w:vMerge w:val="continue"/>
          </w:tcPr>
          <w:p/>
        </w:tc>
        <w:tc>
          <w:tcPr>
            <w:vMerge w:val="continue"/>
          </w:tcPr>
          <w:p/>
        </w:tc>
        <w:tc>
          <w:tcPr>
            <w:gridSpan w:val="4"/>
            <w:vMerge w:val="continue"/>
          </w:tcPr>
          <w:p/>
        </w:tc>
        <w:tc>
          <w:tcPr>
            <w:gridSpan w:val="2"/>
            <w:vMerge w:val="continue"/>
          </w:tcPr>
          <w:p/>
        </w:tc>
        <w:tc>
          <w:tcPr>
            <w:vMerge w:val="continue"/>
          </w:tcPr>
          <w:p/>
        </w:tc>
        <w:tc>
          <w:tcPr>
            <w:vMerge w:val="continue"/>
          </w:tcPr>
          <w:p/>
        </w:tc>
        <w:tc>
          <w:tcPr>
            <w:gridSpan w:val="3"/>
            <w:vMerge w:val="continue"/>
          </w:tcPr>
          <w:p/>
        </w:tc>
        <w:tc>
          <w:tcPr>
            <w:gridSpan w:val="2"/>
            <w:vMerge w:val="continue"/>
          </w:tcPr>
          <w:p/>
        </w:tc>
        <w:tc>
          <w:tcPr>
            <w:gridSpan w:val="2"/>
            <w:tcW w:w="1588" w:type="dxa"/>
          </w:tcPr>
          <w:p>
            <w:pPr>
              <w:pStyle w:val="0"/>
              <w:jc w:val="center"/>
            </w:pPr>
            <w:r>
              <w:rPr>
                <w:sz w:val="24"/>
              </w:rPr>
              <w:t xml:space="preserve">в строящихся домах</w:t>
            </w:r>
          </w:p>
        </w:tc>
        <w:tc>
          <w:tcPr>
            <w:gridSpan w:val="2"/>
            <w:tcW w:w="1643" w:type="dxa"/>
          </w:tcPr>
          <w:p>
            <w:pPr>
              <w:pStyle w:val="0"/>
              <w:jc w:val="center"/>
            </w:pPr>
            <w:r>
              <w:rPr>
                <w:sz w:val="24"/>
              </w:rPr>
              <w:t xml:space="preserve">в домах, введенных в эксплуатацию</w:t>
            </w:r>
          </w:p>
        </w:tc>
        <w:tc>
          <w:tcPr>
            <w:gridSpan w:val="2"/>
            <w:vMerge w:val="continue"/>
          </w:tcP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1020" w:type="dxa"/>
          </w:tcPr>
          <w:p>
            <w:pPr>
              <w:pStyle w:val="0"/>
              <w:jc w:val="center"/>
            </w:pPr>
            <w:r>
              <w:rPr>
                <w:sz w:val="24"/>
              </w:rPr>
              <w:t xml:space="preserve">расселяемая площадь</w:t>
            </w:r>
          </w:p>
        </w:tc>
        <w:tc>
          <w:tcPr>
            <w:tcW w:w="1020" w:type="dxa"/>
          </w:tcPr>
          <w:p>
            <w:pPr>
              <w:pStyle w:val="0"/>
              <w:jc w:val="center"/>
            </w:pPr>
            <w:r>
              <w:rPr>
                <w:sz w:val="24"/>
              </w:rPr>
              <w:t xml:space="preserve">расселяемая площадь</w:t>
            </w:r>
          </w:p>
        </w:tc>
        <w:tc>
          <w:tcPr>
            <w:tcW w:w="1531" w:type="dxa"/>
          </w:tcPr>
          <w:p>
            <w:pPr>
              <w:pStyle w:val="0"/>
              <w:jc w:val="center"/>
            </w:pPr>
            <w:r>
              <w:rPr>
                <w:sz w:val="24"/>
              </w:rPr>
              <w:t xml:space="preserve">стоимость возмещения</w:t>
            </w:r>
          </w:p>
        </w:tc>
        <w:tc>
          <w:tcPr>
            <w:tcW w:w="1077" w:type="dxa"/>
          </w:tcPr>
          <w:p>
            <w:pPr>
              <w:pStyle w:val="0"/>
              <w:jc w:val="center"/>
            </w:pPr>
            <w:r>
              <w:rPr>
                <w:sz w:val="24"/>
              </w:rPr>
              <w:t xml:space="preserve">субсидия на приобретение (строительство) жилых помещений</w:t>
            </w:r>
          </w:p>
        </w:tc>
        <w:tc>
          <w:tcPr>
            <w:tcW w:w="907" w:type="dxa"/>
          </w:tcPr>
          <w:p>
            <w:pPr>
              <w:pStyle w:val="0"/>
              <w:jc w:val="center"/>
            </w:pPr>
            <w:r>
              <w:rPr>
                <w:sz w:val="24"/>
              </w:rPr>
              <w:t xml:space="preserve">субсидия на возмещение части расходов на уплату процентов за пользование займом или кредитом</w:t>
            </w:r>
          </w:p>
        </w:tc>
        <w:tc>
          <w:tcPr>
            <w:tcW w:w="794" w:type="dxa"/>
          </w:tcPr>
          <w:p>
            <w:pPr>
              <w:pStyle w:val="0"/>
              <w:jc w:val="center"/>
            </w:pPr>
            <w:r>
              <w:rPr>
                <w:sz w:val="24"/>
              </w:rPr>
              <w:t xml:space="preserve">расселяемая площадь</w:t>
            </w:r>
          </w:p>
        </w:tc>
        <w:tc>
          <w:tcPr>
            <w:tcW w:w="907" w:type="dxa"/>
          </w:tcPr>
          <w:p>
            <w:pPr>
              <w:pStyle w:val="0"/>
              <w:jc w:val="center"/>
            </w:pPr>
            <w:r>
              <w:rPr>
                <w:sz w:val="24"/>
              </w:rPr>
              <w:t xml:space="preserve">субсидия на возмещение или оплату расходов по договорам о комплексном развитии территорий</w:t>
            </w:r>
          </w:p>
        </w:tc>
        <w:tc>
          <w:tcPr>
            <w:tcW w:w="1020" w:type="dxa"/>
          </w:tcPr>
          <w:p>
            <w:pPr>
              <w:pStyle w:val="0"/>
              <w:jc w:val="center"/>
            </w:pPr>
            <w:r>
              <w:rPr>
                <w:sz w:val="24"/>
              </w:rPr>
              <w:t xml:space="preserve">расселяемая площадь</w:t>
            </w:r>
          </w:p>
        </w:tc>
        <w:tc>
          <w:tcPr>
            <w:tcW w:w="964" w:type="dxa"/>
          </w:tcPr>
          <w:p>
            <w:pPr>
              <w:pStyle w:val="0"/>
              <w:jc w:val="center"/>
            </w:pPr>
            <w:r>
              <w:rPr>
                <w:sz w:val="24"/>
              </w:rPr>
              <w:t xml:space="preserve">стоимость</w:t>
            </w:r>
          </w:p>
        </w:tc>
        <w:tc>
          <w:tcPr>
            <w:tcW w:w="1020" w:type="dxa"/>
          </w:tcPr>
          <w:p>
            <w:pPr>
              <w:pStyle w:val="0"/>
              <w:jc w:val="center"/>
            </w:pPr>
            <w:r>
              <w:rPr>
                <w:sz w:val="24"/>
              </w:rPr>
              <w:t xml:space="preserve">расселяемая площадь</w:t>
            </w:r>
          </w:p>
        </w:tc>
        <w:tc>
          <w:tcPr>
            <w:tcW w:w="1020" w:type="dxa"/>
          </w:tcPr>
          <w:p>
            <w:pPr>
              <w:pStyle w:val="0"/>
              <w:jc w:val="center"/>
            </w:pPr>
            <w:r>
              <w:rPr>
                <w:sz w:val="24"/>
              </w:rPr>
              <w:t xml:space="preserve">приобретаемая площадь</w:t>
            </w:r>
          </w:p>
        </w:tc>
        <w:tc>
          <w:tcPr>
            <w:tcW w:w="1587" w:type="dxa"/>
          </w:tcPr>
          <w:p>
            <w:pPr>
              <w:pStyle w:val="0"/>
              <w:jc w:val="center"/>
            </w:pPr>
            <w:r>
              <w:rPr>
                <w:sz w:val="24"/>
              </w:rPr>
              <w:t xml:space="preserve">стоимость</w:t>
            </w:r>
          </w:p>
        </w:tc>
        <w:tc>
          <w:tcPr>
            <w:tcW w:w="794" w:type="dxa"/>
          </w:tcPr>
          <w:p>
            <w:pPr>
              <w:pStyle w:val="0"/>
              <w:jc w:val="center"/>
            </w:pPr>
            <w:r>
              <w:rPr>
                <w:sz w:val="24"/>
              </w:rPr>
              <w:t xml:space="preserve">приобретаемая площадь</w:t>
            </w:r>
          </w:p>
        </w:tc>
        <w:tc>
          <w:tcPr>
            <w:tcW w:w="849" w:type="dxa"/>
          </w:tcPr>
          <w:p>
            <w:pPr>
              <w:pStyle w:val="0"/>
              <w:jc w:val="center"/>
            </w:pPr>
            <w:r>
              <w:rPr>
                <w:sz w:val="24"/>
              </w:rPr>
              <w:t xml:space="preserve">стоимость</w:t>
            </w:r>
          </w:p>
        </w:tc>
        <w:tc>
          <w:tcPr>
            <w:tcW w:w="794" w:type="dxa"/>
          </w:tcPr>
          <w:p>
            <w:pPr>
              <w:pStyle w:val="0"/>
              <w:jc w:val="center"/>
            </w:pPr>
            <w:r>
              <w:rPr>
                <w:sz w:val="24"/>
              </w:rPr>
              <w:t xml:space="preserve">приобретаемая площадь</w:t>
            </w:r>
          </w:p>
        </w:tc>
        <w:tc>
          <w:tcPr>
            <w:tcW w:w="794" w:type="dxa"/>
          </w:tcPr>
          <w:p>
            <w:pPr>
              <w:pStyle w:val="0"/>
              <w:jc w:val="center"/>
            </w:pPr>
            <w:r>
              <w:rPr>
                <w:sz w:val="24"/>
              </w:rPr>
              <w:t xml:space="preserve">стоимость</w:t>
            </w:r>
          </w:p>
        </w:tc>
        <w:tc>
          <w:tcPr>
            <w:tcW w:w="849" w:type="dxa"/>
          </w:tcPr>
          <w:p>
            <w:pPr>
              <w:pStyle w:val="0"/>
              <w:jc w:val="center"/>
            </w:pPr>
            <w:r>
              <w:rPr>
                <w:sz w:val="24"/>
              </w:rPr>
              <w:t xml:space="preserve">приобретаемая площадь</w:t>
            </w:r>
          </w:p>
        </w:tc>
        <w:tc>
          <w:tcPr>
            <w:tcW w:w="794" w:type="dxa"/>
          </w:tcPr>
          <w:p>
            <w:pPr>
              <w:pStyle w:val="0"/>
              <w:jc w:val="center"/>
            </w:pPr>
            <w:r>
              <w:rPr>
                <w:sz w:val="24"/>
              </w:rPr>
              <w:t xml:space="preserve">стоимость</w:t>
            </w:r>
          </w:p>
        </w:tc>
        <w:tc>
          <w:tcPr>
            <w:tcW w:w="1020" w:type="dxa"/>
          </w:tcPr>
          <w:p>
            <w:pPr>
              <w:pStyle w:val="0"/>
              <w:jc w:val="center"/>
            </w:pPr>
            <w:r>
              <w:rPr>
                <w:sz w:val="24"/>
              </w:rPr>
              <w:t xml:space="preserve">приобретаемая площадь</w:t>
            </w:r>
          </w:p>
        </w:tc>
        <w:tc>
          <w:tcPr>
            <w:tcW w:w="1531" w:type="dxa"/>
          </w:tcPr>
          <w:p>
            <w:pPr>
              <w:pStyle w:val="0"/>
              <w:jc w:val="center"/>
            </w:pPr>
            <w:r>
              <w:rPr>
                <w:sz w:val="24"/>
              </w:rPr>
              <w:t xml:space="preserve">стоимость</w:t>
            </w:r>
          </w:p>
        </w:tc>
        <w:tc>
          <w:tcPr>
            <w:tcW w:w="1020" w:type="dxa"/>
          </w:tcPr>
          <w:p>
            <w:pPr>
              <w:pStyle w:val="0"/>
              <w:jc w:val="center"/>
            </w:pPr>
            <w:r>
              <w:rPr>
                <w:sz w:val="24"/>
              </w:rPr>
              <w:t xml:space="preserve">стоимость</w:t>
            </w:r>
          </w:p>
        </w:tc>
        <w:tc>
          <w:tcPr>
            <w:tcW w:w="1020" w:type="dxa"/>
          </w:tcPr>
          <w:p>
            <w:pPr>
              <w:pStyle w:val="0"/>
              <w:jc w:val="center"/>
            </w:pPr>
            <w:r>
              <w:rPr>
                <w:sz w:val="24"/>
              </w:rPr>
              <w:t xml:space="preserve">площадь</w:t>
            </w:r>
          </w:p>
        </w:tc>
        <w:tc>
          <w:tcPr>
            <w:tcW w:w="1020" w:type="dxa"/>
          </w:tcPr>
          <w:p>
            <w:pPr>
              <w:pStyle w:val="0"/>
              <w:jc w:val="center"/>
            </w:pPr>
            <w:r>
              <w:rPr>
                <w:sz w:val="24"/>
              </w:rPr>
              <w:t xml:space="preserve">площадь</w:t>
            </w:r>
          </w:p>
        </w:tc>
        <w:tc>
          <w:tcPr>
            <w:tcW w:w="1020" w:type="dxa"/>
          </w:tcPr>
          <w:p>
            <w:pPr>
              <w:pStyle w:val="0"/>
              <w:jc w:val="center"/>
            </w:pPr>
            <w:r>
              <w:rPr>
                <w:sz w:val="24"/>
              </w:rPr>
              <w:t xml:space="preserve">площадь</w:t>
            </w:r>
          </w:p>
        </w:tc>
        <w:tc>
          <w:tcPr>
            <w:tcW w:w="850" w:type="dxa"/>
          </w:tcPr>
          <w:p>
            <w:pPr>
              <w:pStyle w:val="0"/>
              <w:jc w:val="center"/>
            </w:pPr>
            <w:r>
              <w:rPr>
                <w:sz w:val="24"/>
              </w:rPr>
              <w:t xml:space="preserve">площадь</w:t>
            </w:r>
          </w:p>
        </w:tc>
      </w:tr>
      <w:tr>
        <w:tc>
          <w:tcPr>
            <w:vMerge w:val="continue"/>
          </w:tcPr>
          <w:p/>
        </w:tc>
        <w:tc>
          <w:tcPr>
            <w:vMerge w:val="continue"/>
          </w:tcPr>
          <w:p/>
        </w:tc>
        <w:tc>
          <w:tcPr>
            <w:tcW w:w="1077" w:type="dxa"/>
          </w:tcPr>
          <w:p>
            <w:pPr>
              <w:pStyle w:val="0"/>
              <w:jc w:val="center"/>
            </w:pPr>
            <w:r>
              <w:rPr>
                <w:sz w:val="24"/>
              </w:rPr>
              <w:t xml:space="preserve">кв. м</w:t>
            </w:r>
          </w:p>
        </w:tc>
        <w:tc>
          <w:tcPr>
            <w:tcW w:w="1587" w:type="dxa"/>
          </w:tcPr>
          <w:p>
            <w:pPr>
              <w:pStyle w:val="0"/>
              <w:jc w:val="center"/>
            </w:pPr>
            <w:r>
              <w:rPr>
                <w:sz w:val="24"/>
              </w:rPr>
              <w:t xml:space="preserve">руб.</w:t>
            </w:r>
          </w:p>
        </w:tc>
        <w:tc>
          <w:tcPr>
            <w:tcW w:w="1020" w:type="dxa"/>
          </w:tcPr>
          <w:p>
            <w:pPr>
              <w:pStyle w:val="0"/>
              <w:jc w:val="center"/>
            </w:pPr>
            <w:r>
              <w:rPr>
                <w:sz w:val="24"/>
              </w:rPr>
              <w:t xml:space="preserve">кв. м</w:t>
            </w:r>
          </w:p>
        </w:tc>
        <w:tc>
          <w:tcPr>
            <w:tcW w:w="1020" w:type="dxa"/>
          </w:tcPr>
          <w:p>
            <w:pPr>
              <w:pStyle w:val="0"/>
              <w:jc w:val="center"/>
            </w:pPr>
            <w:r>
              <w:rPr>
                <w:sz w:val="24"/>
              </w:rPr>
              <w:t xml:space="preserve">кв. м</w:t>
            </w:r>
          </w:p>
        </w:tc>
        <w:tc>
          <w:tcPr>
            <w:tcW w:w="1531" w:type="dxa"/>
          </w:tcPr>
          <w:p>
            <w:pPr>
              <w:pStyle w:val="0"/>
              <w:jc w:val="center"/>
            </w:pPr>
            <w:r>
              <w:rPr>
                <w:sz w:val="24"/>
              </w:rPr>
              <w:t xml:space="preserve">руб.</w:t>
            </w:r>
          </w:p>
        </w:tc>
        <w:tc>
          <w:tcPr>
            <w:tcW w:w="1077" w:type="dxa"/>
          </w:tcPr>
          <w:p>
            <w:pPr>
              <w:pStyle w:val="0"/>
              <w:jc w:val="center"/>
            </w:pPr>
            <w:r>
              <w:rPr>
                <w:sz w:val="24"/>
              </w:rPr>
              <w:t xml:space="preserve">руб.</w:t>
            </w:r>
          </w:p>
        </w:tc>
        <w:tc>
          <w:tcPr>
            <w:tcW w:w="907" w:type="dxa"/>
          </w:tcPr>
          <w:p>
            <w:pPr>
              <w:pStyle w:val="0"/>
              <w:jc w:val="center"/>
            </w:pPr>
            <w:r>
              <w:rPr>
                <w:sz w:val="24"/>
              </w:rPr>
              <w:t xml:space="preserve">руб.</w:t>
            </w:r>
          </w:p>
        </w:tc>
        <w:tc>
          <w:tcPr>
            <w:tcW w:w="794" w:type="dxa"/>
          </w:tcPr>
          <w:p>
            <w:pPr>
              <w:pStyle w:val="0"/>
              <w:jc w:val="center"/>
            </w:pPr>
            <w:r>
              <w:rPr>
                <w:sz w:val="24"/>
              </w:rPr>
              <w:t xml:space="preserve">кв. м</w:t>
            </w:r>
          </w:p>
        </w:tc>
        <w:tc>
          <w:tcPr>
            <w:tcW w:w="907" w:type="dxa"/>
          </w:tcPr>
          <w:p>
            <w:pPr>
              <w:pStyle w:val="0"/>
              <w:jc w:val="center"/>
            </w:pPr>
            <w:r>
              <w:rPr>
                <w:sz w:val="24"/>
              </w:rPr>
              <w:t xml:space="preserve">руб.</w:t>
            </w:r>
          </w:p>
        </w:tc>
        <w:tc>
          <w:tcPr>
            <w:tcW w:w="1020" w:type="dxa"/>
          </w:tcPr>
          <w:p>
            <w:pPr>
              <w:pStyle w:val="0"/>
              <w:jc w:val="center"/>
            </w:pPr>
            <w:r>
              <w:rPr>
                <w:sz w:val="24"/>
              </w:rPr>
              <w:t xml:space="preserve">кв. м</w:t>
            </w:r>
          </w:p>
        </w:tc>
        <w:tc>
          <w:tcPr>
            <w:tcW w:w="964" w:type="dxa"/>
          </w:tcPr>
          <w:p>
            <w:pPr>
              <w:pStyle w:val="0"/>
              <w:jc w:val="center"/>
            </w:pPr>
            <w:r>
              <w:rPr>
                <w:sz w:val="24"/>
              </w:rPr>
              <w:t xml:space="preserve">руб.</w:t>
            </w:r>
          </w:p>
        </w:tc>
        <w:tc>
          <w:tcPr>
            <w:tcW w:w="1020" w:type="dxa"/>
          </w:tcPr>
          <w:p>
            <w:pPr>
              <w:pStyle w:val="0"/>
              <w:jc w:val="center"/>
            </w:pPr>
            <w:r>
              <w:rPr>
                <w:sz w:val="24"/>
              </w:rPr>
              <w:t xml:space="preserve">кв. м</w:t>
            </w:r>
          </w:p>
        </w:tc>
        <w:tc>
          <w:tcPr>
            <w:tcW w:w="1020" w:type="dxa"/>
          </w:tcPr>
          <w:p>
            <w:pPr>
              <w:pStyle w:val="0"/>
              <w:jc w:val="center"/>
            </w:pPr>
            <w:r>
              <w:rPr>
                <w:sz w:val="24"/>
              </w:rPr>
              <w:t xml:space="preserve">кв. м</w:t>
            </w:r>
          </w:p>
        </w:tc>
        <w:tc>
          <w:tcPr>
            <w:tcW w:w="1587" w:type="dxa"/>
          </w:tcPr>
          <w:p>
            <w:pPr>
              <w:pStyle w:val="0"/>
              <w:jc w:val="center"/>
            </w:pPr>
            <w:r>
              <w:rPr>
                <w:sz w:val="24"/>
              </w:rPr>
              <w:t xml:space="preserve">руб.</w:t>
            </w:r>
          </w:p>
        </w:tc>
        <w:tc>
          <w:tcPr>
            <w:tcW w:w="794" w:type="dxa"/>
          </w:tcPr>
          <w:p>
            <w:pPr>
              <w:pStyle w:val="0"/>
              <w:jc w:val="center"/>
            </w:pPr>
            <w:r>
              <w:rPr>
                <w:sz w:val="24"/>
              </w:rPr>
              <w:t xml:space="preserve">кв. м</w:t>
            </w:r>
          </w:p>
        </w:tc>
        <w:tc>
          <w:tcPr>
            <w:tcW w:w="849" w:type="dxa"/>
          </w:tcPr>
          <w:p>
            <w:pPr>
              <w:pStyle w:val="0"/>
              <w:jc w:val="center"/>
            </w:pPr>
            <w:r>
              <w:rPr>
                <w:sz w:val="24"/>
              </w:rPr>
              <w:t xml:space="preserve">руб.</w:t>
            </w:r>
          </w:p>
        </w:tc>
        <w:tc>
          <w:tcPr>
            <w:tcW w:w="794" w:type="dxa"/>
          </w:tcPr>
          <w:p>
            <w:pPr>
              <w:pStyle w:val="0"/>
              <w:jc w:val="center"/>
            </w:pPr>
            <w:r>
              <w:rPr>
                <w:sz w:val="24"/>
              </w:rPr>
              <w:t xml:space="preserve">кв. м</w:t>
            </w:r>
          </w:p>
        </w:tc>
        <w:tc>
          <w:tcPr>
            <w:tcW w:w="794" w:type="dxa"/>
          </w:tcPr>
          <w:p>
            <w:pPr>
              <w:pStyle w:val="0"/>
              <w:jc w:val="center"/>
            </w:pPr>
            <w:r>
              <w:rPr>
                <w:sz w:val="24"/>
              </w:rPr>
              <w:t xml:space="preserve">руб.</w:t>
            </w:r>
          </w:p>
        </w:tc>
        <w:tc>
          <w:tcPr>
            <w:tcW w:w="849" w:type="dxa"/>
          </w:tcPr>
          <w:p>
            <w:pPr>
              <w:pStyle w:val="0"/>
              <w:jc w:val="center"/>
            </w:pPr>
            <w:r>
              <w:rPr>
                <w:sz w:val="24"/>
              </w:rPr>
              <w:t xml:space="preserve">кв. м</w:t>
            </w:r>
          </w:p>
        </w:tc>
        <w:tc>
          <w:tcPr>
            <w:tcW w:w="794" w:type="dxa"/>
          </w:tcPr>
          <w:p>
            <w:pPr>
              <w:pStyle w:val="0"/>
              <w:jc w:val="center"/>
            </w:pPr>
            <w:r>
              <w:rPr>
                <w:sz w:val="24"/>
              </w:rPr>
              <w:t xml:space="preserve">руб.</w:t>
            </w:r>
          </w:p>
        </w:tc>
        <w:tc>
          <w:tcPr>
            <w:tcW w:w="1020" w:type="dxa"/>
          </w:tcPr>
          <w:p>
            <w:pPr>
              <w:pStyle w:val="0"/>
              <w:jc w:val="center"/>
            </w:pPr>
            <w:r>
              <w:rPr>
                <w:sz w:val="24"/>
              </w:rPr>
              <w:t xml:space="preserve">кв. м</w:t>
            </w:r>
          </w:p>
        </w:tc>
        <w:tc>
          <w:tcPr>
            <w:tcW w:w="1531" w:type="dxa"/>
          </w:tcPr>
          <w:p>
            <w:pPr>
              <w:pStyle w:val="0"/>
              <w:jc w:val="center"/>
            </w:pPr>
            <w:r>
              <w:rPr>
                <w:sz w:val="24"/>
              </w:rPr>
              <w:t xml:space="preserve">руб.</w:t>
            </w:r>
          </w:p>
        </w:tc>
        <w:tc>
          <w:tcPr>
            <w:tcW w:w="1020" w:type="dxa"/>
          </w:tcPr>
          <w:p>
            <w:pPr>
              <w:pStyle w:val="0"/>
              <w:jc w:val="center"/>
            </w:pPr>
            <w:r>
              <w:rPr>
                <w:sz w:val="24"/>
              </w:rPr>
              <w:t xml:space="preserve">руб.</w:t>
            </w:r>
          </w:p>
        </w:tc>
        <w:tc>
          <w:tcPr>
            <w:tcW w:w="1020" w:type="dxa"/>
          </w:tcPr>
          <w:p>
            <w:pPr>
              <w:pStyle w:val="0"/>
              <w:jc w:val="center"/>
            </w:pPr>
            <w:r>
              <w:rPr>
                <w:sz w:val="24"/>
              </w:rPr>
              <w:t xml:space="preserve">кв. м</w:t>
            </w:r>
          </w:p>
        </w:tc>
        <w:tc>
          <w:tcPr>
            <w:tcW w:w="1020" w:type="dxa"/>
          </w:tcPr>
          <w:p>
            <w:pPr>
              <w:pStyle w:val="0"/>
              <w:jc w:val="center"/>
            </w:pPr>
            <w:r>
              <w:rPr>
                <w:sz w:val="24"/>
              </w:rPr>
              <w:t xml:space="preserve">кв. м</w:t>
            </w:r>
          </w:p>
        </w:tc>
        <w:tc>
          <w:tcPr>
            <w:tcW w:w="1020" w:type="dxa"/>
          </w:tcPr>
          <w:p>
            <w:pPr>
              <w:pStyle w:val="0"/>
              <w:jc w:val="center"/>
            </w:pPr>
            <w:r>
              <w:rPr>
                <w:sz w:val="24"/>
              </w:rPr>
              <w:t xml:space="preserve">кв. м</w:t>
            </w:r>
          </w:p>
        </w:tc>
        <w:tc>
          <w:tcPr>
            <w:tcW w:w="850" w:type="dxa"/>
          </w:tcPr>
          <w:p>
            <w:pPr>
              <w:pStyle w:val="0"/>
              <w:jc w:val="center"/>
            </w:pPr>
            <w:r>
              <w:rPr>
                <w:sz w:val="24"/>
              </w:rPr>
              <w:t xml:space="preserve">кв. м</w:t>
            </w:r>
          </w:p>
        </w:tc>
      </w:tr>
      <w:tr>
        <w:tc>
          <w:tcPr>
            <w:tcW w:w="567" w:type="dxa"/>
          </w:tcPr>
          <w:p>
            <w:pPr>
              <w:pStyle w:val="0"/>
              <w:jc w:val="center"/>
            </w:pPr>
            <w:r>
              <w:rPr>
                <w:sz w:val="24"/>
              </w:rPr>
              <w:t xml:space="preserve">1</w:t>
            </w:r>
          </w:p>
        </w:tc>
        <w:tc>
          <w:tcPr>
            <w:tcW w:w="2154" w:type="dxa"/>
          </w:tcPr>
          <w:p>
            <w:pPr>
              <w:pStyle w:val="0"/>
              <w:jc w:val="center"/>
            </w:pPr>
            <w:r>
              <w:rPr>
                <w:sz w:val="24"/>
              </w:rPr>
              <w:t xml:space="preserve">2</w:t>
            </w:r>
          </w:p>
        </w:tc>
        <w:tc>
          <w:tcPr>
            <w:tcW w:w="1077" w:type="dxa"/>
          </w:tcPr>
          <w:p>
            <w:pPr>
              <w:pStyle w:val="0"/>
              <w:jc w:val="center"/>
            </w:pPr>
            <w:r>
              <w:rPr>
                <w:sz w:val="24"/>
              </w:rPr>
              <w:t xml:space="preserve">3</w:t>
            </w:r>
          </w:p>
        </w:tc>
        <w:tc>
          <w:tcPr>
            <w:tcW w:w="1587" w:type="dxa"/>
          </w:tcPr>
          <w:p>
            <w:pPr>
              <w:pStyle w:val="0"/>
              <w:jc w:val="center"/>
            </w:pPr>
            <w:r>
              <w:rPr>
                <w:sz w:val="24"/>
              </w:rPr>
              <w:t xml:space="preserve">4</w:t>
            </w:r>
          </w:p>
        </w:tc>
        <w:tc>
          <w:tcPr>
            <w:tcW w:w="1020" w:type="dxa"/>
          </w:tcPr>
          <w:p>
            <w:pPr>
              <w:pStyle w:val="0"/>
              <w:jc w:val="center"/>
            </w:pPr>
            <w:r>
              <w:rPr>
                <w:sz w:val="24"/>
              </w:rPr>
              <w:t xml:space="preserve">5</w:t>
            </w:r>
          </w:p>
        </w:tc>
        <w:tc>
          <w:tcPr>
            <w:tcW w:w="1020" w:type="dxa"/>
          </w:tcPr>
          <w:p>
            <w:pPr>
              <w:pStyle w:val="0"/>
              <w:jc w:val="center"/>
            </w:pPr>
            <w:r>
              <w:rPr>
                <w:sz w:val="24"/>
              </w:rPr>
              <w:t xml:space="preserve">6</w:t>
            </w:r>
          </w:p>
        </w:tc>
        <w:tc>
          <w:tcPr>
            <w:tcW w:w="1531" w:type="dxa"/>
          </w:tcPr>
          <w:p>
            <w:pPr>
              <w:pStyle w:val="0"/>
              <w:jc w:val="center"/>
            </w:pPr>
            <w:r>
              <w:rPr>
                <w:sz w:val="24"/>
              </w:rPr>
              <w:t xml:space="preserve">7</w:t>
            </w:r>
          </w:p>
        </w:tc>
        <w:tc>
          <w:tcPr>
            <w:tcW w:w="1077" w:type="dxa"/>
          </w:tcPr>
          <w:p>
            <w:pPr>
              <w:pStyle w:val="0"/>
              <w:jc w:val="center"/>
            </w:pPr>
            <w:r>
              <w:rPr>
                <w:sz w:val="24"/>
              </w:rPr>
              <w:t xml:space="preserve">8</w:t>
            </w:r>
          </w:p>
        </w:tc>
        <w:tc>
          <w:tcPr>
            <w:tcW w:w="907" w:type="dxa"/>
          </w:tcPr>
          <w:p>
            <w:pPr>
              <w:pStyle w:val="0"/>
              <w:jc w:val="center"/>
            </w:pPr>
            <w:r>
              <w:rPr>
                <w:sz w:val="24"/>
              </w:rPr>
              <w:t xml:space="preserve">9</w:t>
            </w:r>
          </w:p>
        </w:tc>
        <w:tc>
          <w:tcPr>
            <w:tcW w:w="794" w:type="dxa"/>
          </w:tcPr>
          <w:p>
            <w:pPr>
              <w:pStyle w:val="0"/>
              <w:jc w:val="center"/>
            </w:pPr>
            <w:r>
              <w:rPr>
                <w:sz w:val="24"/>
              </w:rPr>
              <w:t xml:space="preserve">10</w:t>
            </w:r>
          </w:p>
        </w:tc>
        <w:tc>
          <w:tcPr>
            <w:tcW w:w="907" w:type="dxa"/>
          </w:tcPr>
          <w:p>
            <w:pPr>
              <w:pStyle w:val="0"/>
              <w:jc w:val="center"/>
            </w:pPr>
            <w:r>
              <w:rPr>
                <w:sz w:val="24"/>
              </w:rPr>
              <w:t xml:space="preserve">11</w:t>
            </w:r>
          </w:p>
        </w:tc>
        <w:tc>
          <w:tcPr>
            <w:tcW w:w="1020" w:type="dxa"/>
          </w:tcPr>
          <w:p>
            <w:pPr>
              <w:pStyle w:val="0"/>
              <w:jc w:val="center"/>
            </w:pPr>
            <w:r>
              <w:rPr>
                <w:sz w:val="24"/>
              </w:rPr>
              <w:t xml:space="preserve">12</w:t>
            </w:r>
          </w:p>
        </w:tc>
        <w:tc>
          <w:tcPr>
            <w:tcW w:w="964" w:type="dxa"/>
          </w:tcPr>
          <w:p>
            <w:pPr>
              <w:pStyle w:val="0"/>
              <w:jc w:val="center"/>
            </w:pPr>
            <w:r>
              <w:rPr>
                <w:sz w:val="24"/>
              </w:rPr>
              <w:t xml:space="preserve">13</w:t>
            </w:r>
          </w:p>
        </w:tc>
        <w:tc>
          <w:tcPr>
            <w:tcW w:w="1020" w:type="dxa"/>
          </w:tcPr>
          <w:p>
            <w:pPr>
              <w:pStyle w:val="0"/>
              <w:jc w:val="center"/>
            </w:pPr>
            <w:r>
              <w:rPr>
                <w:sz w:val="24"/>
              </w:rPr>
              <w:t xml:space="preserve">14</w:t>
            </w:r>
          </w:p>
        </w:tc>
        <w:tc>
          <w:tcPr>
            <w:tcW w:w="1020" w:type="dxa"/>
          </w:tcPr>
          <w:p>
            <w:pPr>
              <w:pStyle w:val="0"/>
              <w:jc w:val="center"/>
            </w:pPr>
            <w:r>
              <w:rPr>
                <w:sz w:val="24"/>
              </w:rPr>
              <w:t xml:space="preserve">15</w:t>
            </w:r>
          </w:p>
        </w:tc>
        <w:tc>
          <w:tcPr>
            <w:tcW w:w="1587" w:type="dxa"/>
          </w:tcPr>
          <w:p>
            <w:pPr>
              <w:pStyle w:val="0"/>
              <w:jc w:val="center"/>
            </w:pPr>
            <w:r>
              <w:rPr>
                <w:sz w:val="24"/>
              </w:rPr>
              <w:t xml:space="preserve">16</w:t>
            </w:r>
          </w:p>
        </w:tc>
        <w:tc>
          <w:tcPr>
            <w:tcW w:w="794" w:type="dxa"/>
          </w:tcPr>
          <w:p>
            <w:pPr>
              <w:pStyle w:val="0"/>
              <w:jc w:val="center"/>
            </w:pPr>
            <w:r>
              <w:rPr>
                <w:sz w:val="24"/>
              </w:rPr>
              <w:t xml:space="preserve">17</w:t>
            </w:r>
          </w:p>
        </w:tc>
        <w:tc>
          <w:tcPr>
            <w:tcW w:w="849" w:type="dxa"/>
          </w:tcPr>
          <w:p>
            <w:pPr>
              <w:pStyle w:val="0"/>
              <w:jc w:val="center"/>
            </w:pPr>
            <w:r>
              <w:rPr>
                <w:sz w:val="24"/>
              </w:rPr>
              <w:t xml:space="preserve">18</w:t>
            </w:r>
          </w:p>
        </w:tc>
        <w:tc>
          <w:tcPr>
            <w:tcW w:w="794" w:type="dxa"/>
          </w:tcPr>
          <w:p>
            <w:pPr>
              <w:pStyle w:val="0"/>
              <w:jc w:val="center"/>
            </w:pPr>
            <w:r>
              <w:rPr>
                <w:sz w:val="24"/>
              </w:rPr>
              <w:t xml:space="preserve">19</w:t>
            </w:r>
          </w:p>
        </w:tc>
        <w:tc>
          <w:tcPr>
            <w:tcW w:w="794" w:type="dxa"/>
          </w:tcPr>
          <w:p>
            <w:pPr>
              <w:pStyle w:val="0"/>
              <w:jc w:val="center"/>
            </w:pPr>
            <w:r>
              <w:rPr>
                <w:sz w:val="24"/>
              </w:rPr>
              <w:t xml:space="preserve">20</w:t>
            </w:r>
          </w:p>
        </w:tc>
        <w:tc>
          <w:tcPr>
            <w:tcW w:w="849" w:type="dxa"/>
          </w:tcPr>
          <w:p>
            <w:pPr>
              <w:pStyle w:val="0"/>
              <w:jc w:val="center"/>
            </w:pPr>
            <w:r>
              <w:rPr>
                <w:sz w:val="24"/>
              </w:rPr>
              <w:t xml:space="preserve">21</w:t>
            </w:r>
          </w:p>
        </w:tc>
        <w:tc>
          <w:tcPr>
            <w:tcW w:w="794" w:type="dxa"/>
          </w:tcPr>
          <w:p>
            <w:pPr>
              <w:pStyle w:val="0"/>
              <w:jc w:val="center"/>
            </w:pPr>
            <w:r>
              <w:rPr>
                <w:sz w:val="24"/>
              </w:rPr>
              <w:t xml:space="preserve">22</w:t>
            </w:r>
          </w:p>
        </w:tc>
        <w:tc>
          <w:tcPr>
            <w:tcW w:w="1020" w:type="dxa"/>
          </w:tcPr>
          <w:p>
            <w:pPr>
              <w:pStyle w:val="0"/>
              <w:jc w:val="center"/>
            </w:pPr>
            <w:r>
              <w:rPr>
                <w:sz w:val="24"/>
              </w:rPr>
              <w:t xml:space="preserve">23</w:t>
            </w:r>
          </w:p>
        </w:tc>
        <w:tc>
          <w:tcPr>
            <w:tcW w:w="1531" w:type="dxa"/>
          </w:tcPr>
          <w:p>
            <w:pPr>
              <w:pStyle w:val="0"/>
              <w:jc w:val="center"/>
            </w:pPr>
            <w:r>
              <w:rPr>
                <w:sz w:val="24"/>
              </w:rPr>
              <w:t xml:space="preserve">24</w:t>
            </w:r>
          </w:p>
        </w:tc>
        <w:tc>
          <w:tcPr>
            <w:tcW w:w="1020" w:type="dxa"/>
          </w:tcPr>
          <w:p>
            <w:pPr>
              <w:pStyle w:val="0"/>
              <w:jc w:val="center"/>
            </w:pPr>
            <w:r>
              <w:rPr>
                <w:sz w:val="24"/>
              </w:rPr>
              <w:t xml:space="preserve">25</w:t>
            </w:r>
          </w:p>
        </w:tc>
        <w:tc>
          <w:tcPr>
            <w:tcW w:w="1020" w:type="dxa"/>
          </w:tcPr>
          <w:p>
            <w:pPr>
              <w:pStyle w:val="0"/>
              <w:jc w:val="center"/>
            </w:pPr>
            <w:r>
              <w:rPr>
                <w:sz w:val="24"/>
              </w:rPr>
              <w:t xml:space="preserve">26</w:t>
            </w:r>
          </w:p>
        </w:tc>
        <w:tc>
          <w:tcPr>
            <w:tcW w:w="1020" w:type="dxa"/>
          </w:tcPr>
          <w:p>
            <w:pPr>
              <w:pStyle w:val="0"/>
              <w:jc w:val="center"/>
            </w:pPr>
            <w:r>
              <w:rPr>
                <w:sz w:val="24"/>
              </w:rPr>
              <w:t xml:space="preserve">27</w:t>
            </w:r>
          </w:p>
        </w:tc>
        <w:tc>
          <w:tcPr>
            <w:tcW w:w="1020" w:type="dxa"/>
          </w:tcPr>
          <w:p>
            <w:pPr>
              <w:pStyle w:val="0"/>
              <w:jc w:val="center"/>
            </w:pPr>
            <w:r>
              <w:rPr>
                <w:sz w:val="24"/>
              </w:rPr>
              <w:t xml:space="preserve">28</w:t>
            </w:r>
          </w:p>
        </w:tc>
        <w:tc>
          <w:tcPr>
            <w:tcW w:w="850" w:type="dxa"/>
          </w:tcPr>
          <w:p>
            <w:pPr>
              <w:pStyle w:val="0"/>
              <w:jc w:val="center"/>
            </w:pPr>
            <w:r>
              <w:rPr>
                <w:sz w:val="24"/>
              </w:rPr>
              <w:t xml:space="preserve">29</w:t>
            </w:r>
          </w:p>
        </w:tc>
      </w:tr>
      <w:tr>
        <w:tc>
          <w:tcPr>
            <w:gridSpan w:val="2"/>
            <w:tcW w:w="2721" w:type="dxa"/>
          </w:tcPr>
          <w:p>
            <w:pPr>
              <w:pStyle w:val="0"/>
              <w:jc w:val="both"/>
            </w:pPr>
            <w:r>
              <w:rPr>
                <w:sz w:val="24"/>
              </w:rPr>
              <w:t xml:space="preserve">Всего по программе переселения, в рамках которой предусмотрено финансирование за счет средств Фонда, в т.ч.:</w:t>
            </w:r>
          </w:p>
        </w:tc>
        <w:tc>
          <w:tcPr>
            <w:tcW w:w="1077" w:type="dxa"/>
          </w:tcPr>
          <w:p>
            <w:pPr>
              <w:pStyle w:val="0"/>
              <w:jc w:val="center"/>
            </w:pPr>
            <w:r>
              <w:rPr>
                <w:sz w:val="24"/>
              </w:rPr>
              <w:t xml:space="preserve">9836,76</w:t>
            </w:r>
          </w:p>
        </w:tc>
        <w:tc>
          <w:tcPr>
            <w:tcW w:w="1587" w:type="dxa"/>
          </w:tcPr>
          <w:p>
            <w:pPr>
              <w:pStyle w:val="0"/>
              <w:jc w:val="center"/>
            </w:pPr>
            <w:r>
              <w:rPr>
                <w:sz w:val="24"/>
              </w:rPr>
              <w:t xml:space="preserve">692686971,40</w:t>
            </w:r>
          </w:p>
        </w:tc>
        <w:tc>
          <w:tcPr>
            <w:tcW w:w="1020" w:type="dxa"/>
          </w:tcPr>
          <w:p>
            <w:pPr>
              <w:pStyle w:val="0"/>
              <w:jc w:val="center"/>
            </w:pPr>
            <w:r>
              <w:rPr>
                <w:sz w:val="24"/>
              </w:rPr>
              <w:t xml:space="preserve">6181,20</w:t>
            </w:r>
          </w:p>
        </w:tc>
        <w:tc>
          <w:tcPr>
            <w:tcW w:w="1020" w:type="dxa"/>
          </w:tcPr>
          <w:p>
            <w:pPr>
              <w:pStyle w:val="0"/>
              <w:jc w:val="center"/>
            </w:pPr>
            <w:r>
              <w:rPr>
                <w:sz w:val="24"/>
              </w:rPr>
              <w:t xml:space="preserve">6108,00</w:t>
            </w:r>
          </w:p>
        </w:tc>
        <w:tc>
          <w:tcPr>
            <w:tcW w:w="1531" w:type="dxa"/>
          </w:tcPr>
          <w:p>
            <w:pPr>
              <w:pStyle w:val="0"/>
              <w:jc w:val="center"/>
            </w:pPr>
            <w:r>
              <w:rPr>
                <w:sz w:val="24"/>
              </w:rPr>
              <w:t xml:space="preserve">404401206,82</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73,20</w:t>
            </w:r>
          </w:p>
        </w:tc>
        <w:tc>
          <w:tcPr>
            <w:tcW w:w="964" w:type="dxa"/>
          </w:tcPr>
          <w:p>
            <w:pPr>
              <w:pStyle w:val="0"/>
              <w:jc w:val="center"/>
            </w:pPr>
            <w:r>
              <w:rPr>
                <w:sz w:val="24"/>
              </w:rPr>
              <w:t xml:space="preserve">0,00</w:t>
            </w:r>
          </w:p>
        </w:tc>
        <w:tc>
          <w:tcPr>
            <w:tcW w:w="1020" w:type="dxa"/>
          </w:tcPr>
          <w:p>
            <w:pPr>
              <w:pStyle w:val="0"/>
              <w:jc w:val="center"/>
            </w:pPr>
            <w:r>
              <w:rPr>
                <w:sz w:val="24"/>
              </w:rPr>
              <w:t xml:space="preserve">3655,56</w:t>
            </w:r>
          </w:p>
        </w:tc>
        <w:tc>
          <w:tcPr>
            <w:tcW w:w="1020" w:type="dxa"/>
          </w:tcPr>
          <w:p>
            <w:pPr>
              <w:pStyle w:val="0"/>
              <w:jc w:val="center"/>
            </w:pPr>
            <w:r>
              <w:rPr>
                <w:sz w:val="24"/>
              </w:rPr>
              <w:t xml:space="preserve">3738,76</w:t>
            </w:r>
          </w:p>
        </w:tc>
        <w:tc>
          <w:tcPr>
            <w:tcW w:w="1587" w:type="dxa"/>
          </w:tcPr>
          <w:p>
            <w:pPr>
              <w:pStyle w:val="0"/>
              <w:jc w:val="center"/>
            </w:pPr>
            <w:r>
              <w:rPr>
                <w:sz w:val="24"/>
              </w:rPr>
              <w:t xml:space="preserve">288285764,58</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3738,76</w:t>
            </w:r>
          </w:p>
        </w:tc>
        <w:tc>
          <w:tcPr>
            <w:tcW w:w="1531" w:type="dxa"/>
          </w:tcPr>
          <w:p>
            <w:pPr>
              <w:pStyle w:val="0"/>
              <w:jc w:val="center"/>
            </w:pPr>
            <w:r>
              <w:rPr>
                <w:sz w:val="24"/>
              </w:rPr>
              <w:t xml:space="preserve">288285764,58</w:t>
            </w:r>
          </w:p>
        </w:tc>
        <w:tc>
          <w:tcPr>
            <w:tcW w:w="1020" w:type="dxa"/>
          </w:tcPr>
          <w:p>
            <w:pPr>
              <w:pStyle w:val="0"/>
              <w:jc w:val="center"/>
            </w:pPr>
            <w:r>
              <w:rPr>
                <w:sz w:val="24"/>
              </w:rPr>
              <w:t xml:space="preserve">0,00</w:t>
            </w:r>
          </w:p>
        </w:tc>
        <w:tc>
          <w:tcPr>
            <w:tcW w:w="1020" w:type="dxa"/>
          </w:tcPr>
          <w:p>
            <w:pPr>
              <w:pStyle w:val="0"/>
              <w:jc w:val="center"/>
            </w:pPr>
            <w:r>
              <w:rPr>
                <w:sz w:val="24"/>
              </w:rPr>
              <w:t xml:space="preserve">3290,96</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446,50</w:t>
            </w:r>
          </w:p>
        </w:tc>
      </w:tr>
      <w:tr>
        <w:tc>
          <w:tcPr>
            <w:gridSpan w:val="2"/>
            <w:tcW w:w="2721" w:type="dxa"/>
          </w:tcPr>
          <w:p>
            <w:pPr>
              <w:pStyle w:val="0"/>
              <w:jc w:val="both"/>
            </w:pPr>
            <w:r>
              <w:rPr>
                <w:sz w:val="24"/>
              </w:rPr>
              <w:t xml:space="preserve">Всего по этапу 2024 года</w:t>
            </w:r>
          </w:p>
        </w:tc>
        <w:tc>
          <w:tcPr>
            <w:tcW w:w="1077" w:type="dxa"/>
          </w:tcPr>
          <w:p>
            <w:pPr>
              <w:pStyle w:val="0"/>
              <w:jc w:val="center"/>
            </w:pPr>
            <w:r>
              <w:rPr>
                <w:sz w:val="24"/>
              </w:rPr>
              <w:t xml:space="preserve">1008,30</w:t>
            </w:r>
          </w:p>
        </w:tc>
        <w:tc>
          <w:tcPr>
            <w:tcW w:w="1587" w:type="dxa"/>
          </w:tcPr>
          <w:p>
            <w:pPr>
              <w:pStyle w:val="0"/>
              <w:jc w:val="center"/>
            </w:pPr>
            <w:r>
              <w:rPr>
                <w:sz w:val="24"/>
              </w:rPr>
              <w:t xml:space="preserve">56509977,20</w:t>
            </w:r>
          </w:p>
        </w:tc>
        <w:tc>
          <w:tcPr>
            <w:tcW w:w="1020" w:type="dxa"/>
          </w:tcPr>
          <w:p>
            <w:pPr>
              <w:pStyle w:val="0"/>
              <w:jc w:val="center"/>
            </w:pPr>
            <w:r>
              <w:rPr>
                <w:sz w:val="24"/>
              </w:rPr>
              <w:t xml:space="preserve">619,10</w:t>
            </w:r>
          </w:p>
        </w:tc>
        <w:tc>
          <w:tcPr>
            <w:tcW w:w="1020" w:type="dxa"/>
          </w:tcPr>
          <w:p>
            <w:pPr>
              <w:pStyle w:val="0"/>
              <w:jc w:val="center"/>
            </w:pPr>
            <w:r>
              <w:rPr>
                <w:sz w:val="24"/>
              </w:rPr>
              <w:t xml:space="preserve">564,60</w:t>
            </w:r>
          </w:p>
        </w:tc>
        <w:tc>
          <w:tcPr>
            <w:tcW w:w="1531" w:type="dxa"/>
          </w:tcPr>
          <w:p>
            <w:pPr>
              <w:pStyle w:val="0"/>
              <w:jc w:val="center"/>
            </w:pPr>
            <w:r>
              <w:rPr>
                <w:sz w:val="24"/>
              </w:rPr>
              <w:t xml:space="preserve">30550718,00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54,50</w:t>
            </w:r>
          </w:p>
        </w:tc>
        <w:tc>
          <w:tcPr>
            <w:tcW w:w="964" w:type="dxa"/>
          </w:tcPr>
          <w:p>
            <w:pPr>
              <w:pStyle w:val="0"/>
              <w:jc w:val="center"/>
            </w:pPr>
            <w:r>
              <w:rPr>
                <w:sz w:val="24"/>
              </w:rPr>
              <w:t xml:space="preserve">0,00</w:t>
            </w:r>
          </w:p>
        </w:tc>
        <w:tc>
          <w:tcPr>
            <w:tcW w:w="1020" w:type="dxa"/>
          </w:tcPr>
          <w:p>
            <w:pPr>
              <w:pStyle w:val="0"/>
              <w:jc w:val="center"/>
            </w:pPr>
            <w:r>
              <w:rPr>
                <w:sz w:val="24"/>
              </w:rPr>
              <w:t xml:space="preserve">389,20</w:t>
            </w:r>
          </w:p>
        </w:tc>
        <w:tc>
          <w:tcPr>
            <w:tcW w:w="1020" w:type="dxa"/>
          </w:tcPr>
          <w:p>
            <w:pPr>
              <w:pStyle w:val="0"/>
              <w:jc w:val="center"/>
            </w:pPr>
            <w:r>
              <w:rPr>
                <w:sz w:val="24"/>
              </w:rPr>
              <w:t xml:space="preserve">429,10</w:t>
            </w:r>
          </w:p>
        </w:tc>
        <w:tc>
          <w:tcPr>
            <w:tcW w:w="1587" w:type="dxa"/>
          </w:tcPr>
          <w:p>
            <w:pPr>
              <w:pStyle w:val="0"/>
              <w:jc w:val="center"/>
            </w:pPr>
            <w:r>
              <w:rPr>
                <w:sz w:val="24"/>
              </w:rPr>
              <w:t xml:space="preserve">25959259,20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429,10</w:t>
            </w:r>
          </w:p>
        </w:tc>
        <w:tc>
          <w:tcPr>
            <w:tcW w:w="1531" w:type="dxa"/>
          </w:tcPr>
          <w:p>
            <w:pPr>
              <w:pStyle w:val="0"/>
              <w:jc w:val="center"/>
            </w:pPr>
            <w:r>
              <w:rPr>
                <w:sz w:val="24"/>
              </w:rPr>
              <w:t xml:space="preserve">25959259,20</w:t>
            </w:r>
          </w:p>
        </w:tc>
        <w:tc>
          <w:tcPr>
            <w:tcW w:w="1020" w:type="dxa"/>
          </w:tcPr>
          <w:p>
            <w:pPr>
              <w:pStyle w:val="0"/>
              <w:jc w:val="center"/>
            </w:pPr>
            <w:r>
              <w:rPr>
                <w:sz w:val="24"/>
              </w:rPr>
              <w:t xml:space="preserve">0,00</w:t>
            </w:r>
          </w:p>
        </w:tc>
        <w:tc>
          <w:tcPr>
            <w:tcW w:w="1020" w:type="dxa"/>
          </w:tcPr>
          <w:p>
            <w:pPr>
              <w:pStyle w:val="0"/>
              <w:jc w:val="center"/>
            </w:pPr>
            <w:r>
              <w:rPr>
                <w:sz w:val="24"/>
              </w:rPr>
              <w:t xml:space="preserve">429,10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0,00</w:t>
            </w:r>
          </w:p>
        </w:tc>
      </w:tr>
      <w:tr>
        <w:tc>
          <w:tcPr>
            <w:tcW w:w="567" w:type="dxa"/>
          </w:tcPr>
          <w:p>
            <w:pPr>
              <w:pStyle w:val="0"/>
              <w:jc w:val="both"/>
            </w:pPr>
            <w:r>
              <w:rPr>
                <w:sz w:val="24"/>
              </w:rPr>
              <w:t xml:space="preserve">1</w:t>
            </w:r>
          </w:p>
        </w:tc>
        <w:tc>
          <w:tcPr>
            <w:tcW w:w="2154" w:type="dxa"/>
          </w:tcPr>
          <w:p>
            <w:pPr>
              <w:pStyle w:val="0"/>
              <w:jc w:val="both"/>
            </w:pPr>
            <w:r>
              <w:rPr>
                <w:sz w:val="24"/>
              </w:rPr>
              <w:t xml:space="preserve">Итого по городскому округу Иваново</w:t>
            </w:r>
          </w:p>
        </w:tc>
        <w:tc>
          <w:tcPr>
            <w:tcW w:w="1077" w:type="dxa"/>
          </w:tcPr>
          <w:p>
            <w:pPr>
              <w:pStyle w:val="0"/>
              <w:jc w:val="center"/>
            </w:pPr>
            <w:r>
              <w:rPr>
                <w:sz w:val="24"/>
              </w:rPr>
              <w:t xml:space="preserve">475,70</w:t>
            </w:r>
          </w:p>
        </w:tc>
        <w:tc>
          <w:tcPr>
            <w:tcW w:w="1587" w:type="dxa"/>
          </w:tcPr>
          <w:p>
            <w:pPr>
              <w:pStyle w:val="0"/>
              <w:jc w:val="center"/>
            </w:pPr>
            <w:r>
              <w:rPr>
                <w:sz w:val="24"/>
              </w:rPr>
              <w:t xml:space="preserve">27635490,39</w:t>
            </w:r>
          </w:p>
        </w:tc>
        <w:tc>
          <w:tcPr>
            <w:tcW w:w="1020" w:type="dxa"/>
          </w:tcPr>
          <w:p>
            <w:pPr>
              <w:pStyle w:val="0"/>
              <w:jc w:val="center"/>
            </w:pPr>
            <w:r>
              <w:rPr>
                <w:sz w:val="24"/>
              </w:rPr>
              <w:t xml:space="preserve">400,50</w:t>
            </w:r>
          </w:p>
        </w:tc>
        <w:tc>
          <w:tcPr>
            <w:tcW w:w="1020" w:type="dxa"/>
          </w:tcPr>
          <w:p>
            <w:pPr>
              <w:pStyle w:val="0"/>
              <w:jc w:val="center"/>
            </w:pPr>
            <w:r>
              <w:rPr>
                <w:sz w:val="24"/>
              </w:rPr>
              <w:t xml:space="preserve">346,00</w:t>
            </w:r>
          </w:p>
        </w:tc>
        <w:tc>
          <w:tcPr>
            <w:tcW w:w="1531" w:type="dxa"/>
          </w:tcPr>
          <w:p>
            <w:pPr>
              <w:pStyle w:val="0"/>
              <w:jc w:val="center"/>
            </w:pPr>
            <w:r>
              <w:rPr>
                <w:sz w:val="24"/>
              </w:rPr>
              <w:t xml:space="preserve">20402700,00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54,50</w:t>
            </w:r>
          </w:p>
        </w:tc>
        <w:tc>
          <w:tcPr>
            <w:tcW w:w="964" w:type="dxa"/>
          </w:tcPr>
          <w:p>
            <w:pPr>
              <w:pStyle w:val="0"/>
              <w:jc w:val="center"/>
            </w:pPr>
            <w:r>
              <w:rPr>
                <w:sz w:val="24"/>
              </w:rPr>
              <w:t xml:space="preserve">0,00</w:t>
            </w:r>
          </w:p>
        </w:tc>
        <w:tc>
          <w:tcPr>
            <w:tcW w:w="1020" w:type="dxa"/>
          </w:tcPr>
          <w:p>
            <w:pPr>
              <w:pStyle w:val="0"/>
              <w:jc w:val="center"/>
            </w:pPr>
            <w:r>
              <w:rPr>
                <w:sz w:val="24"/>
              </w:rPr>
              <w:t xml:space="preserve">75,20</w:t>
            </w:r>
          </w:p>
        </w:tc>
        <w:tc>
          <w:tcPr>
            <w:tcW w:w="1020" w:type="dxa"/>
          </w:tcPr>
          <w:p>
            <w:pPr>
              <w:pStyle w:val="0"/>
              <w:jc w:val="center"/>
            </w:pPr>
            <w:r>
              <w:rPr>
                <w:sz w:val="24"/>
              </w:rPr>
              <w:t xml:space="preserve">84,60</w:t>
            </w:r>
          </w:p>
        </w:tc>
        <w:tc>
          <w:tcPr>
            <w:tcW w:w="1587" w:type="dxa"/>
          </w:tcPr>
          <w:p>
            <w:pPr>
              <w:pStyle w:val="0"/>
              <w:jc w:val="center"/>
            </w:pPr>
            <w:r>
              <w:rPr>
                <w:sz w:val="24"/>
              </w:rPr>
              <w:t xml:space="preserve">7232790,39</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84,60</w:t>
            </w:r>
          </w:p>
        </w:tc>
        <w:tc>
          <w:tcPr>
            <w:tcW w:w="1531" w:type="dxa"/>
          </w:tcPr>
          <w:p>
            <w:pPr>
              <w:pStyle w:val="0"/>
              <w:jc w:val="center"/>
            </w:pPr>
            <w:r>
              <w:rPr>
                <w:sz w:val="24"/>
              </w:rPr>
              <w:t xml:space="preserve">7232790,39</w:t>
            </w:r>
          </w:p>
        </w:tc>
        <w:tc>
          <w:tcPr>
            <w:tcW w:w="1020" w:type="dxa"/>
          </w:tcPr>
          <w:p>
            <w:pPr>
              <w:pStyle w:val="0"/>
              <w:jc w:val="center"/>
            </w:pPr>
            <w:r>
              <w:rPr>
                <w:sz w:val="24"/>
              </w:rPr>
              <w:t xml:space="preserve">0,00</w:t>
            </w:r>
          </w:p>
        </w:tc>
        <w:tc>
          <w:tcPr>
            <w:tcW w:w="1020" w:type="dxa"/>
          </w:tcPr>
          <w:p>
            <w:pPr>
              <w:pStyle w:val="0"/>
              <w:jc w:val="center"/>
            </w:pPr>
            <w:r>
              <w:rPr>
                <w:sz w:val="24"/>
              </w:rPr>
              <w:t xml:space="preserve">84,60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0,00</w:t>
            </w:r>
          </w:p>
        </w:tc>
      </w:tr>
      <w:tr>
        <w:tc>
          <w:tcPr>
            <w:tcW w:w="567" w:type="dxa"/>
          </w:tcPr>
          <w:p>
            <w:pPr>
              <w:pStyle w:val="0"/>
              <w:jc w:val="both"/>
            </w:pPr>
            <w:r>
              <w:rPr>
                <w:sz w:val="24"/>
              </w:rPr>
              <w:t xml:space="preserve">2</w:t>
            </w:r>
          </w:p>
        </w:tc>
        <w:tc>
          <w:tcPr>
            <w:tcW w:w="2154" w:type="dxa"/>
          </w:tcPr>
          <w:p>
            <w:pPr>
              <w:pStyle w:val="0"/>
              <w:jc w:val="both"/>
            </w:pPr>
            <w:r>
              <w:rPr>
                <w:sz w:val="24"/>
              </w:rPr>
              <w:t xml:space="preserve">Итого по городскому округу Кинешма</w:t>
            </w:r>
          </w:p>
        </w:tc>
        <w:tc>
          <w:tcPr>
            <w:tcW w:w="1077" w:type="dxa"/>
          </w:tcPr>
          <w:p>
            <w:pPr>
              <w:pStyle w:val="0"/>
              <w:jc w:val="center"/>
            </w:pPr>
            <w:r>
              <w:rPr>
                <w:sz w:val="24"/>
              </w:rPr>
              <w:t xml:space="preserve">532,60</w:t>
            </w:r>
          </w:p>
        </w:tc>
        <w:tc>
          <w:tcPr>
            <w:tcW w:w="1587" w:type="dxa"/>
          </w:tcPr>
          <w:p>
            <w:pPr>
              <w:pStyle w:val="0"/>
              <w:jc w:val="center"/>
            </w:pPr>
            <w:r>
              <w:rPr>
                <w:sz w:val="24"/>
              </w:rPr>
              <w:t xml:space="preserve">28874486,81</w:t>
            </w:r>
          </w:p>
        </w:tc>
        <w:tc>
          <w:tcPr>
            <w:tcW w:w="1020" w:type="dxa"/>
          </w:tcPr>
          <w:p>
            <w:pPr>
              <w:pStyle w:val="0"/>
              <w:jc w:val="center"/>
            </w:pPr>
            <w:r>
              <w:rPr>
                <w:sz w:val="24"/>
              </w:rPr>
              <w:t xml:space="preserve">218,60</w:t>
            </w:r>
          </w:p>
        </w:tc>
        <w:tc>
          <w:tcPr>
            <w:tcW w:w="1020" w:type="dxa"/>
          </w:tcPr>
          <w:p>
            <w:pPr>
              <w:pStyle w:val="0"/>
              <w:jc w:val="center"/>
            </w:pPr>
            <w:r>
              <w:rPr>
                <w:sz w:val="24"/>
              </w:rPr>
              <w:t xml:space="preserve">218,60</w:t>
            </w:r>
          </w:p>
        </w:tc>
        <w:tc>
          <w:tcPr>
            <w:tcW w:w="1531" w:type="dxa"/>
          </w:tcPr>
          <w:p>
            <w:pPr>
              <w:pStyle w:val="0"/>
              <w:jc w:val="center"/>
            </w:pPr>
            <w:r>
              <w:rPr>
                <w:sz w:val="24"/>
              </w:rPr>
              <w:t xml:space="preserve">10148018,00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0,00</w:t>
            </w:r>
          </w:p>
        </w:tc>
        <w:tc>
          <w:tcPr>
            <w:tcW w:w="964" w:type="dxa"/>
          </w:tcPr>
          <w:p>
            <w:pPr>
              <w:pStyle w:val="0"/>
              <w:jc w:val="center"/>
            </w:pPr>
            <w:r>
              <w:rPr>
                <w:sz w:val="24"/>
              </w:rPr>
              <w:t xml:space="preserve">0,00</w:t>
            </w:r>
          </w:p>
        </w:tc>
        <w:tc>
          <w:tcPr>
            <w:tcW w:w="1020" w:type="dxa"/>
          </w:tcPr>
          <w:p>
            <w:pPr>
              <w:pStyle w:val="0"/>
              <w:jc w:val="center"/>
            </w:pPr>
            <w:r>
              <w:rPr>
                <w:sz w:val="24"/>
              </w:rPr>
              <w:t xml:space="preserve">314,00</w:t>
            </w:r>
          </w:p>
        </w:tc>
        <w:tc>
          <w:tcPr>
            <w:tcW w:w="1020" w:type="dxa"/>
          </w:tcPr>
          <w:p>
            <w:pPr>
              <w:pStyle w:val="0"/>
              <w:jc w:val="center"/>
            </w:pPr>
            <w:r>
              <w:rPr>
                <w:sz w:val="24"/>
              </w:rPr>
              <w:t xml:space="preserve">344,50</w:t>
            </w:r>
          </w:p>
        </w:tc>
        <w:tc>
          <w:tcPr>
            <w:tcW w:w="1587" w:type="dxa"/>
          </w:tcPr>
          <w:p>
            <w:pPr>
              <w:pStyle w:val="0"/>
              <w:jc w:val="center"/>
            </w:pPr>
            <w:r>
              <w:rPr>
                <w:sz w:val="24"/>
              </w:rPr>
              <w:t xml:space="preserve">18726468,81</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344,50</w:t>
            </w:r>
          </w:p>
        </w:tc>
        <w:tc>
          <w:tcPr>
            <w:tcW w:w="1531" w:type="dxa"/>
          </w:tcPr>
          <w:p>
            <w:pPr>
              <w:pStyle w:val="0"/>
              <w:jc w:val="center"/>
            </w:pPr>
            <w:r>
              <w:rPr>
                <w:sz w:val="24"/>
              </w:rPr>
              <w:t xml:space="preserve">18726468,81</w:t>
            </w:r>
          </w:p>
        </w:tc>
        <w:tc>
          <w:tcPr>
            <w:tcW w:w="1020" w:type="dxa"/>
          </w:tcPr>
          <w:p>
            <w:pPr>
              <w:pStyle w:val="0"/>
              <w:jc w:val="center"/>
            </w:pPr>
            <w:r>
              <w:rPr>
                <w:sz w:val="24"/>
              </w:rPr>
              <w:t xml:space="preserve">0,00</w:t>
            </w:r>
          </w:p>
        </w:tc>
        <w:tc>
          <w:tcPr>
            <w:tcW w:w="1020" w:type="dxa"/>
          </w:tcPr>
          <w:p>
            <w:pPr>
              <w:pStyle w:val="0"/>
              <w:jc w:val="center"/>
            </w:pPr>
            <w:r>
              <w:rPr>
                <w:sz w:val="24"/>
              </w:rPr>
              <w:t xml:space="preserve">344,50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0,00</w:t>
            </w:r>
          </w:p>
        </w:tc>
      </w:tr>
      <w:tr>
        <w:tc>
          <w:tcPr>
            <w:gridSpan w:val="2"/>
            <w:tcW w:w="2721" w:type="dxa"/>
          </w:tcPr>
          <w:p>
            <w:pPr>
              <w:pStyle w:val="0"/>
              <w:jc w:val="both"/>
            </w:pPr>
            <w:r>
              <w:rPr>
                <w:sz w:val="24"/>
              </w:rPr>
              <w:t xml:space="preserve">Всего по этапу 2025 года</w:t>
            </w:r>
          </w:p>
        </w:tc>
        <w:tc>
          <w:tcPr>
            <w:tcW w:w="1077" w:type="dxa"/>
          </w:tcPr>
          <w:p>
            <w:pPr>
              <w:pStyle w:val="0"/>
              <w:jc w:val="center"/>
            </w:pPr>
            <w:r>
              <w:rPr>
                <w:sz w:val="24"/>
              </w:rPr>
              <w:t xml:space="preserve">4075,80</w:t>
            </w:r>
          </w:p>
        </w:tc>
        <w:tc>
          <w:tcPr>
            <w:tcW w:w="1587" w:type="dxa"/>
          </w:tcPr>
          <w:p>
            <w:pPr>
              <w:pStyle w:val="0"/>
              <w:jc w:val="center"/>
            </w:pPr>
            <w:r>
              <w:rPr>
                <w:sz w:val="24"/>
              </w:rPr>
              <w:t xml:space="preserve">276075781,62</w:t>
            </w:r>
          </w:p>
        </w:tc>
        <w:tc>
          <w:tcPr>
            <w:tcW w:w="1020" w:type="dxa"/>
          </w:tcPr>
          <w:p>
            <w:pPr>
              <w:pStyle w:val="0"/>
              <w:jc w:val="center"/>
            </w:pPr>
            <w:r>
              <w:rPr>
                <w:sz w:val="24"/>
              </w:rPr>
              <w:t xml:space="preserve">3300,50</w:t>
            </w:r>
          </w:p>
        </w:tc>
        <w:tc>
          <w:tcPr>
            <w:tcW w:w="1020" w:type="dxa"/>
          </w:tcPr>
          <w:p>
            <w:pPr>
              <w:pStyle w:val="0"/>
              <w:jc w:val="center"/>
            </w:pPr>
            <w:r>
              <w:rPr>
                <w:sz w:val="24"/>
              </w:rPr>
              <w:t xml:space="preserve">3281,80</w:t>
            </w:r>
          </w:p>
        </w:tc>
        <w:tc>
          <w:tcPr>
            <w:tcW w:w="1531" w:type="dxa"/>
          </w:tcPr>
          <w:p>
            <w:pPr>
              <w:pStyle w:val="0"/>
              <w:jc w:val="center"/>
            </w:pPr>
            <w:r>
              <w:rPr>
                <w:sz w:val="24"/>
              </w:rPr>
              <w:t xml:space="preserve">215067378,12</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18,70</w:t>
            </w:r>
          </w:p>
        </w:tc>
        <w:tc>
          <w:tcPr>
            <w:tcW w:w="964" w:type="dxa"/>
          </w:tcPr>
          <w:p>
            <w:pPr>
              <w:pStyle w:val="0"/>
              <w:jc w:val="center"/>
            </w:pPr>
            <w:r>
              <w:rPr>
                <w:sz w:val="24"/>
              </w:rPr>
              <w:t xml:space="preserve">0,00</w:t>
            </w:r>
          </w:p>
        </w:tc>
        <w:tc>
          <w:tcPr>
            <w:tcW w:w="1020" w:type="dxa"/>
          </w:tcPr>
          <w:p>
            <w:pPr>
              <w:pStyle w:val="0"/>
              <w:jc w:val="center"/>
            </w:pPr>
            <w:r>
              <w:rPr>
                <w:sz w:val="24"/>
              </w:rPr>
              <w:t xml:space="preserve">775,30</w:t>
            </w:r>
          </w:p>
        </w:tc>
        <w:tc>
          <w:tcPr>
            <w:tcW w:w="1020" w:type="dxa"/>
          </w:tcPr>
          <w:p>
            <w:pPr>
              <w:pStyle w:val="0"/>
              <w:jc w:val="center"/>
            </w:pPr>
            <w:r>
              <w:rPr>
                <w:sz w:val="24"/>
              </w:rPr>
              <w:t xml:space="preserve">818,60</w:t>
            </w:r>
          </w:p>
        </w:tc>
        <w:tc>
          <w:tcPr>
            <w:tcW w:w="1587" w:type="dxa"/>
          </w:tcPr>
          <w:p>
            <w:pPr>
              <w:pStyle w:val="0"/>
              <w:jc w:val="center"/>
            </w:pPr>
            <w:r>
              <w:rPr>
                <w:sz w:val="24"/>
              </w:rPr>
              <w:t xml:space="preserve">61008403,50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818,60</w:t>
            </w:r>
          </w:p>
        </w:tc>
        <w:tc>
          <w:tcPr>
            <w:tcW w:w="1531" w:type="dxa"/>
          </w:tcPr>
          <w:p>
            <w:pPr>
              <w:pStyle w:val="0"/>
              <w:jc w:val="center"/>
            </w:pPr>
            <w:r>
              <w:rPr>
                <w:sz w:val="24"/>
              </w:rPr>
              <w:t xml:space="preserve">61008403,50</w:t>
            </w:r>
          </w:p>
        </w:tc>
        <w:tc>
          <w:tcPr>
            <w:tcW w:w="1020" w:type="dxa"/>
          </w:tcPr>
          <w:p>
            <w:pPr>
              <w:pStyle w:val="0"/>
              <w:jc w:val="center"/>
            </w:pPr>
            <w:r>
              <w:rPr>
                <w:sz w:val="24"/>
              </w:rPr>
              <w:t xml:space="preserve">0,00</w:t>
            </w:r>
          </w:p>
        </w:tc>
        <w:tc>
          <w:tcPr>
            <w:tcW w:w="1020" w:type="dxa"/>
          </w:tcPr>
          <w:p>
            <w:pPr>
              <w:pStyle w:val="0"/>
              <w:jc w:val="center"/>
            </w:pPr>
            <w:r>
              <w:rPr>
                <w:sz w:val="24"/>
              </w:rPr>
              <w:t xml:space="preserve">817,30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0,00</w:t>
            </w:r>
          </w:p>
        </w:tc>
      </w:tr>
      <w:tr>
        <w:tc>
          <w:tcPr>
            <w:tcW w:w="567" w:type="dxa"/>
          </w:tcPr>
          <w:p>
            <w:pPr>
              <w:pStyle w:val="0"/>
              <w:jc w:val="both"/>
            </w:pPr>
            <w:r>
              <w:rPr>
                <w:sz w:val="24"/>
              </w:rPr>
              <w:t xml:space="preserve">1</w:t>
            </w:r>
          </w:p>
        </w:tc>
        <w:tc>
          <w:tcPr>
            <w:tcW w:w="2154" w:type="dxa"/>
          </w:tcPr>
          <w:p>
            <w:pPr>
              <w:pStyle w:val="0"/>
              <w:jc w:val="both"/>
            </w:pPr>
            <w:r>
              <w:rPr>
                <w:sz w:val="24"/>
              </w:rPr>
              <w:t xml:space="preserve">Итого по городскому округу Иваново</w:t>
            </w:r>
          </w:p>
        </w:tc>
        <w:tc>
          <w:tcPr>
            <w:tcW w:w="1077" w:type="dxa"/>
          </w:tcPr>
          <w:p>
            <w:pPr>
              <w:pStyle w:val="0"/>
              <w:jc w:val="center"/>
            </w:pPr>
            <w:r>
              <w:rPr>
                <w:sz w:val="24"/>
              </w:rPr>
              <w:t xml:space="preserve">2626,00</w:t>
            </w:r>
          </w:p>
        </w:tc>
        <w:tc>
          <w:tcPr>
            <w:tcW w:w="1587" w:type="dxa"/>
          </w:tcPr>
          <w:p>
            <w:pPr>
              <w:pStyle w:val="0"/>
              <w:jc w:val="center"/>
            </w:pPr>
            <w:r>
              <w:rPr>
                <w:sz w:val="24"/>
              </w:rPr>
              <w:t xml:space="preserve">193168886,74</w:t>
            </w:r>
          </w:p>
        </w:tc>
        <w:tc>
          <w:tcPr>
            <w:tcW w:w="1020" w:type="dxa"/>
          </w:tcPr>
          <w:p>
            <w:pPr>
              <w:pStyle w:val="0"/>
              <w:jc w:val="center"/>
            </w:pPr>
            <w:r>
              <w:rPr>
                <w:sz w:val="24"/>
              </w:rPr>
              <w:t xml:space="preserve">2106,00</w:t>
            </w:r>
          </w:p>
        </w:tc>
        <w:tc>
          <w:tcPr>
            <w:tcW w:w="1020" w:type="dxa"/>
          </w:tcPr>
          <w:p>
            <w:pPr>
              <w:pStyle w:val="0"/>
              <w:jc w:val="center"/>
            </w:pPr>
            <w:r>
              <w:rPr>
                <w:sz w:val="24"/>
              </w:rPr>
              <w:t xml:space="preserve">2087,30</w:t>
            </w:r>
          </w:p>
        </w:tc>
        <w:tc>
          <w:tcPr>
            <w:tcW w:w="1531" w:type="dxa"/>
          </w:tcPr>
          <w:p>
            <w:pPr>
              <w:pStyle w:val="0"/>
              <w:jc w:val="center"/>
            </w:pPr>
            <w:r>
              <w:rPr>
                <w:sz w:val="24"/>
              </w:rPr>
              <w:t xml:space="preserve">147321041,80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18,70</w:t>
            </w:r>
          </w:p>
        </w:tc>
        <w:tc>
          <w:tcPr>
            <w:tcW w:w="964" w:type="dxa"/>
          </w:tcPr>
          <w:p>
            <w:pPr>
              <w:pStyle w:val="0"/>
              <w:jc w:val="center"/>
            </w:pPr>
            <w:r>
              <w:rPr>
                <w:sz w:val="24"/>
              </w:rPr>
              <w:t xml:space="preserve">0,00</w:t>
            </w:r>
          </w:p>
        </w:tc>
        <w:tc>
          <w:tcPr>
            <w:tcW w:w="1020" w:type="dxa"/>
          </w:tcPr>
          <w:p>
            <w:pPr>
              <w:pStyle w:val="0"/>
              <w:jc w:val="center"/>
            </w:pPr>
            <w:r>
              <w:rPr>
                <w:sz w:val="24"/>
              </w:rPr>
              <w:t xml:space="preserve">520,00</w:t>
            </w:r>
          </w:p>
        </w:tc>
        <w:tc>
          <w:tcPr>
            <w:tcW w:w="1020" w:type="dxa"/>
          </w:tcPr>
          <w:p>
            <w:pPr>
              <w:pStyle w:val="0"/>
              <w:jc w:val="center"/>
            </w:pPr>
            <w:r>
              <w:rPr>
                <w:sz w:val="24"/>
              </w:rPr>
              <w:t xml:space="preserve">538,20</w:t>
            </w:r>
          </w:p>
        </w:tc>
        <w:tc>
          <w:tcPr>
            <w:tcW w:w="1587" w:type="dxa"/>
          </w:tcPr>
          <w:p>
            <w:pPr>
              <w:pStyle w:val="0"/>
              <w:jc w:val="center"/>
            </w:pPr>
            <w:r>
              <w:rPr>
                <w:sz w:val="24"/>
              </w:rPr>
              <w:t xml:space="preserve">45847844,94</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538,20</w:t>
            </w:r>
          </w:p>
        </w:tc>
        <w:tc>
          <w:tcPr>
            <w:tcW w:w="1531" w:type="dxa"/>
          </w:tcPr>
          <w:p>
            <w:pPr>
              <w:pStyle w:val="0"/>
              <w:jc w:val="center"/>
            </w:pPr>
            <w:r>
              <w:rPr>
                <w:sz w:val="24"/>
              </w:rPr>
              <w:t xml:space="preserve">45847844,94</w:t>
            </w:r>
          </w:p>
        </w:tc>
        <w:tc>
          <w:tcPr>
            <w:tcW w:w="1020" w:type="dxa"/>
          </w:tcPr>
          <w:p>
            <w:pPr>
              <w:pStyle w:val="0"/>
              <w:jc w:val="center"/>
            </w:pPr>
            <w:r>
              <w:rPr>
                <w:sz w:val="24"/>
              </w:rPr>
              <w:t xml:space="preserve">0,00</w:t>
            </w:r>
          </w:p>
        </w:tc>
        <w:tc>
          <w:tcPr>
            <w:tcW w:w="1020" w:type="dxa"/>
          </w:tcPr>
          <w:p>
            <w:pPr>
              <w:pStyle w:val="0"/>
              <w:jc w:val="center"/>
            </w:pPr>
            <w:r>
              <w:rPr>
                <w:sz w:val="24"/>
              </w:rPr>
              <w:t xml:space="preserve">538,20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0,00</w:t>
            </w:r>
          </w:p>
        </w:tc>
      </w:tr>
      <w:tr>
        <w:tc>
          <w:tcPr>
            <w:tcW w:w="567" w:type="dxa"/>
          </w:tcPr>
          <w:p>
            <w:pPr>
              <w:pStyle w:val="0"/>
              <w:jc w:val="both"/>
            </w:pPr>
            <w:r>
              <w:rPr>
                <w:sz w:val="24"/>
              </w:rPr>
              <w:t xml:space="preserve">2</w:t>
            </w:r>
          </w:p>
        </w:tc>
        <w:tc>
          <w:tcPr>
            <w:tcW w:w="2154" w:type="dxa"/>
          </w:tcPr>
          <w:p>
            <w:pPr>
              <w:pStyle w:val="0"/>
              <w:jc w:val="both"/>
            </w:pPr>
            <w:r>
              <w:rPr>
                <w:sz w:val="24"/>
              </w:rPr>
              <w:t xml:space="preserve">Итого по городскому округу Кинешма</w:t>
            </w:r>
          </w:p>
        </w:tc>
        <w:tc>
          <w:tcPr>
            <w:tcW w:w="1077" w:type="dxa"/>
          </w:tcPr>
          <w:p>
            <w:pPr>
              <w:pStyle w:val="0"/>
              <w:jc w:val="center"/>
            </w:pPr>
            <w:r>
              <w:rPr>
                <w:sz w:val="24"/>
              </w:rPr>
              <w:t xml:space="preserve">1449,80</w:t>
            </w:r>
          </w:p>
        </w:tc>
        <w:tc>
          <w:tcPr>
            <w:tcW w:w="1587" w:type="dxa"/>
          </w:tcPr>
          <w:p>
            <w:pPr>
              <w:pStyle w:val="0"/>
              <w:jc w:val="center"/>
            </w:pPr>
            <w:r>
              <w:rPr>
                <w:sz w:val="24"/>
              </w:rPr>
              <w:t xml:space="preserve">82906894,88</w:t>
            </w:r>
          </w:p>
        </w:tc>
        <w:tc>
          <w:tcPr>
            <w:tcW w:w="1020" w:type="dxa"/>
          </w:tcPr>
          <w:p>
            <w:pPr>
              <w:pStyle w:val="0"/>
              <w:jc w:val="center"/>
            </w:pPr>
            <w:r>
              <w:rPr>
                <w:sz w:val="24"/>
              </w:rPr>
              <w:t xml:space="preserve">1194,50</w:t>
            </w:r>
          </w:p>
        </w:tc>
        <w:tc>
          <w:tcPr>
            <w:tcW w:w="1020" w:type="dxa"/>
          </w:tcPr>
          <w:p>
            <w:pPr>
              <w:pStyle w:val="0"/>
              <w:jc w:val="center"/>
            </w:pPr>
            <w:r>
              <w:rPr>
                <w:sz w:val="24"/>
              </w:rPr>
              <w:t xml:space="preserve">1194,50</w:t>
            </w:r>
          </w:p>
        </w:tc>
        <w:tc>
          <w:tcPr>
            <w:tcW w:w="1531" w:type="dxa"/>
          </w:tcPr>
          <w:p>
            <w:pPr>
              <w:pStyle w:val="0"/>
              <w:jc w:val="center"/>
            </w:pPr>
            <w:r>
              <w:rPr>
                <w:sz w:val="24"/>
              </w:rPr>
              <w:t xml:space="preserve">67746336,32</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0,00</w:t>
            </w:r>
          </w:p>
        </w:tc>
        <w:tc>
          <w:tcPr>
            <w:tcW w:w="964" w:type="dxa"/>
          </w:tcPr>
          <w:p>
            <w:pPr>
              <w:pStyle w:val="0"/>
              <w:jc w:val="center"/>
            </w:pPr>
            <w:r>
              <w:rPr>
                <w:sz w:val="24"/>
              </w:rPr>
              <w:t xml:space="preserve">0,00</w:t>
            </w:r>
          </w:p>
        </w:tc>
        <w:tc>
          <w:tcPr>
            <w:tcW w:w="1020" w:type="dxa"/>
          </w:tcPr>
          <w:p>
            <w:pPr>
              <w:pStyle w:val="0"/>
              <w:jc w:val="center"/>
            </w:pPr>
            <w:r>
              <w:rPr>
                <w:sz w:val="24"/>
              </w:rPr>
              <w:t xml:space="preserve">255,30</w:t>
            </w:r>
          </w:p>
        </w:tc>
        <w:tc>
          <w:tcPr>
            <w:tcW w:w="1020" w:type="dxa"/>
          </w:tcPr>
          <w:p>
            <w:pPr>
              <w:pStyle w:val="0"/>
              <w:jc w:val="center"/>
            </w:pPr>
            <w:r>
              <w:rPr>
                <w:sz w:val="24"/>
              </w:rPr>
              <w:t xml:space="preserve">280,40</w:t>
            </w:r>
          </w:p>
        </w:tc>
        <w:tc>
          <w:tcPr>
            <w:tcW w:w="1587" w:type="dxa"/>
          </w:tcPr>
          <w:p>
            <w:pPr>
              <w:pStyle w:val="0"/>
              <w:jc w:val="center"/>
            </w:pPr>
            <w:r>
              <w:rPr>
                <w:sz w:val="24"/>
              </w:rPr>
              <w:t xml:space="preserve">15160558,56</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280,40</w:t>
            </w:r>
          </w:p>
        </w:tc>
        <w:tc>
          <w:tcPr>
            <w:tcW w:w="1531" w:type="dxa"/>
          </w:tcPr>
          <w:p>
            <w:pPr>
              <w:pStyle w:val="0"/>
              <w:jc w:val="center"/>
            </w:pPr>
            <w:r>
              <w:rPr>
                <w:sz w:val="24"/>
              </w:rPr>
              <w:t xml:space="preserve">15160558,56</w:t>
            </w:r>
          </w:p>
        </w:tc>
        <w:tc>
          <w:tcPr>
            <w:tcW w:w="1020" w:type="dxa"/>
          </w:tcPr>
          <w:p>
            <w:pPr>
              <w:pStyle w:val="0"/>
              <w:jc w:val="center"/>
            </w:pPr>
            <w:r>
              <w:rPr>
                <w:sz w:val="24"/>
              </w:rPr>
              <w:t xml:space="preserve">0,00</w:t>
            </w:r>
          </w:p>
        </w:tc>
        <w:tc>
          <w:tcPr>
            <w:tcW w:w="1020" w:type="dxa"/>
          </w:tcPr>
          <w:p>
            <w:pPr>
              <w:pStyle w:val="0"/>
              <w:jc w:val="center"/>
            </w:pPr>
            <w:r>
              <w:rPr>
                <w:sz w:val="24"/>
              </w:rPr>
              <w:t xml:space="preserve">279,10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0,00</w:t>
            </w:r>
          </w:p>
        </w:tc>
      </w:tr>
      <w:tr>
        <w:tc>
          <w:tcPr>
            <w:gridSpan w:val="2"/>
            <w:tcW w:w="2721" w:type="dxa"/>
          </w:tcPr>
          <w:p>
            <w:pPr>
              <w:pStyle w:val="0"/>
              <w:jc w:val="both"/>
            </w:pPr>
            <w:r>
              <w:rPr>
                <w:sz w:val="24"/>
              </w:rPr>
              <w:t xml:space="preserve">Всего по этапу 2026 года</w:t>
            </w:r>
          </w:p>
        </w:tc>
        <w:tc>
          <w:tcPr>
            <w:tcW w:w="1077" w:type="dxa"/>
          </w:tcPr>
          <w:p>
            <w:pPr>
              <w:pStyle w:val="0"/>
              <w:jc w:val="center"/>
            </w:pPr>
            <w:r>
              <w:rPr>
                <w:sz w:val="24"/>
              </w:rPr>
              <w:t xml:space="preserve">4752,66</w:t>
            </w:r>
          </w:p>
        </w:tc>
        <w:tc>
          <w:tcPr>
            <w:tcW w:w="1587" w:type="dxa"/>
          </w:tcPr>
          <w:p>
            <w:pPr>
              <w:pStyle w:val="0"/>
              <w:jc w:val="center"/>
            </w:pPr>
            <w:r>
              <w:rPr>
                <w:sz w:val="24"/>
              </w:rPr>
              <w:t xml:space="preserve">360101212,58</w:t>
            </w:r>
          </w:p>
        </w:tc>
        <w:tc>
          <w:tcPr>
            <w:tcW w:w="1020" w:type="dxa"/>
          </w:tcPr>
          <w:p>
            <w:pPr>
              <w:pStyle w:val="0"/>
              <w:jc w:val="center"/>
            </w:pPr>
            <w:r>
              <w:rPr>
                <w:sz w:val="24"/>
              </w:rPr>
              <w:t xml:space="preserve">2261,60</w:t>
            </w:r>
          </w:p>
        </w:tc>
        <w:tc>
          <w:tcPr>
            <w:tcW w:w="1020" w:type="dxa"/>
          </w:tcPr>
          <w:p>
            <w:pPr>
              <w:pStyle w:val="0"/>
              <w:jc w:val="center"/>
            </w:pPr>
            <w:r>
              <w:rPr>
                <w:sz w:val="24"/>
              </w:rPr>
              <w:t xml:space="preserve">2261,60</w:t>
            </w:r>
          </w:p>
        </w:tc>
        <w:tc>
          <w:tcPr>
            <w:tcW w:w="1531" w:type="dxa"/>
          </w:tcPr>
          <w:p>
            <w:pPr>
              <w:pStyle w:val="0"/>
              <w:jc w:val="center"/>
            </w:pPr>
            <w:r>
              <w:rPr>
                <w:sz w:val="24"/>
              </w:rPr>
              <w:t xml:space="preserve">158783110,70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0,00</w:t>
            </w:r>
          </w:p>
        </w:tc>
        <w:tc>
          <w:tcPr>
            <w:tcW w:w="964" w:type="dxa"/>
          </w:tcPr>
          <w:p>
            <w:pPr>
              <w:pStyle w:val="0"/>
              <w:jc w:val="center"/>
            </w:pPr>
            <w:r>
              <w:rPr>
                <w:sz w:val="24"/>
              </w:rPr>
              <w:t xml:space="preserve">0,00</w:t>
            </w:r>
          </w:p>
        </w:tc>
        <w:tc>
          <w:tcPr>
            <w:tcW w:w="1020" w:type="dxa"/>
          </w:tcPr>
          <w:p>
            <w:pPr>
              <w:pStyle w:val="0"/>
              <w:jc w:val="center"/>
            </w:pPr>
            <w:r>
              <w:rPr>
                <w:sz w:val="24"/>
              </w:rPr>
              <w:t xml:space="preserve">2491,06</w:t>
            </w:r>
          </w:p>
        </w:tc>
        <w:tc>
          <w:tcPr>
            <w:tcW w:w="1020" w:type="dxa"/>
          </w:tcPr>
          <w:p>
            <w:pPr>
              <w:pStyle w:val="0"/>
              <w:jc w:val="center"/>
            </w:pPr>
            <w:r>
              <w:rPr>
                <w:sz w:val="24"/>
              </w:rPr>
              <w:t xml:space="preserve">2491,06</w:t>
            </w:r>
          </w:p>
        </w:tc>
        <w:tc>
          <w:tcPr>
            <w:tcW w:w="1587" w:type="dxa"/>
          </w:tcPr>
          <w:p>
            <w:pPr>
              <w:pStyle w:val="0"/>
              <w:jc w:val="center"/>
            </w:pPr>
            <w:r>
              <w:rPr>
                <w:sz w:val="24"/>
              </w:rPr>
              <w:t xml:space="preserve">201318101,88</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2491,06</w:t>
            </w:r>
          </w:p>
        </w:tc>
        <w:tc>
          <w:tcPr>
            <w:tcW w:w="1531" w:type="dxa"/>
          </w:tcPr>
          <w:p>
            <w:pPr>
              <w:pStyle w:val="0"/>
              <w:jc w:val="center"/>
            </w:pPr>
            <w:r>
              <w:rPr>
                <w:sz w:val="24"/>
              </w:rPr>
              <w:t xml:space="preserve">201318101,88</w:t>
            </w:r>
          </w:p>
        </w:tc>
        <w:tc>
          <w:tcPr>
            <w:tcW w:w="1020" w:type="dxa"/>
          </w:tcPr>
          <w:p>
            <w:pPr>
              <w:pStyle w:val="0"/>
              <w:jc w:val="center"/>
            </w:pPr>
            <w:r>
              <w:rPr>
                <w:sz w:val="24"/>
              </w:rPr>
              <w:t xml:space="preserve">0,00</w:t>
            </w:r>
          </w:p>
        </w:tc>
        <w:tc>
          <w:tcPr>
            <w:tcW w:w="1020" w:type="dxa"/>
          </w:tcPr>
          <w:p>
            <w:pPr>
              <w:pStyle w:val="0"/>
              <w:jc w:val="center"/>
            </w:pPr>
            <w:r>
              <w:rPr>
                <w:sz w:val="24"/>
              </w:rPr>
              <w:t xml:space="preserve">2044,56</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446,50</w:t>
            </w:r>
          </w:p>
        </w:tc>
      </w:tr>
      <w:tr>
        <w:tc>
          <w:tcPr>
            <w:tcW w:w="567" w:type="dxa"/>
          </w:tcPr>
          <w:p>
            <w:pPr>
              <w:pStyle w:val="0"/>
              <w:jc w:val="both"/>
            </w:pPr>
            <w:r>
              <w:rPr>
                <w:sz w:val="24"/>
              </w:rPr>
              <w:t xml:space="preserve">1</w:t>
            </w:r>
          </w:p>
        </w:tc>
        <w:tc>
          <w:tcPr>
            <w:tcW w:w="2154" w:type="dxa"/>
          </w:tcPr>
          <w:p>
            <w:pPr>
              <w:pStyle w:val="0"/>
              <w:jc w:val="both"/>
            </w:pPr>
            <w:r>
              <w:rPr>
                <w:sz w:val="24"/>
              </w:rPr>
              <w:t xml:space="preserve">Итого по городскому округу Иваново</w:t>
            </w:r>
          </w:p>
        </w:tc>
        <w:tc>
          <w:tcPr>
            <w:tcW w:w="1077" w:type="dxa"/>
          </w:tcPr>
          <w:p>
            <w:pPr>
              <w:pStyle w:val="0"/>
              <w:jc w:val="center"/>
            </w:pPr>
            <w:r>
              <w:rPr>
                <w:sz w:val="24"/>
              </w:rPr>
              <w:t xml:space="preserve">1781,90</w:t>
            </w:r>
          </w:p>
        </w:tc>
        <w:tc>
          <w:tcPr>
            <w:tcW w:w="1587" w:type="dxa"/>
          </w:tcPr>
          <w:p>
            <w:pPr>
              <w:pStyle w:val="0"/>
              <w:jc w:val="center"/>
            </w:pPr>
            <w:r>
              <w:rPr>
                <w:sz w:val="24"/>
              </w:rPr>
              <w:t xml:space="preserve">176726119,50</w:t>
            </w:r>
          </w:p>
        </w:tc>
        <w:tc>
          <w:tcPr>
            <w:tcW w:w="1020" w:type="dxa"/>
          </w:tcPr>
          <w:p>
            <w:pPr>
              <w:pStyle w:val="0"/>
              <w:jc w:val="center"/>
            </w:pPr>
            <w:r>
              <w:rPr>
                <w:sz w:val="24"/>
              </w:rPr>
              <w:t xml:space="preserve">1114,10</w:t>
            </w:r>
          </w:p>
        </w:tc>
        <w:tc>
          <w:tcPr>
            <w:tcW w:w="1020" w:type="dxa"/>
          </w:tcPr>
          <w:p>
            <w:pPr>
              <w:pStyle w:val="0"/>
              <w:jc w:val="center"/>
            </w:pPr>
            <w:r>
              <w:rPr>
                <w:sz w:val="24"/>
              </w:rPr>
              <w:t xml:space="preserve">1114,10</w:t>
            </w:r>
          </w:p>
        </w:tc>
        <w:tc>
          <w:tcPr>
            <w:tcW w:w="1531" w:type="dxa"/>
          </w:tcPr>
          <w:p>
            <w:pPr>
              <w:pStyle w:val="0"/>
              <w:jc w:val="center"/>
            </w:pPr>
            <w:r>
              <w:rPr>
                <w:sz w:val="24"/>
              </w:rPr>
              <w:t xml:space="preserve">100299080,70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0,00</w:t>
            </w:r>
          </w:p>
        </w:tc>
        <w:tc>
          <w:tcPr>
            <w:tcW w:w="964" w:type="dxa"/>
          </w:tcPr>
          <w:p>
            <w:pPr>
              <w:pStyle w:val="0"/>
              <w:jc w:val="center"/>
            </w:pPr>
            <w:r>
              <w:rPr>
                <w:sz w:val="24"/>
              </w:rPr>
              <w:t xml:space="preserve">0,00</w:t>
            </w:r>
          </w:p>
        </w:tc>
        <w:tc>
          <w:tcPr>
            <w:tcW w:w="1020" w:type="dxa"/>
          </w:tcPr>
          <w:p>
            <w:pPr>
              <w:pStyle w:val="0"/>
              <w:jc w:val="center"/>
            </w:pPr>
            <w:r>
              <w:rPr>
                <w:sz w:val="24"/>
              </w:rPr>
              <w:t xml:space="preserve">667,80</w:t>
            </w:r>
          </w:p>
        </w:tc>
        <w:tc>
          <w:tcPr>
            <w:tcW w:w="1020" w:type="dxa"/>
          </w:tcPr>
          <w:p>
            <w:pPr>
              <w:pStyle w:val="0"/>
              <w:jc w:val="center"/>
            </w:pPr>
            <w:r>
              <w:rPr>
                <w:sz w:val="24"/>
              </w:rPr>
              <w:t xml:space="preserve">667,80</w:t>
            </w:r>
          </w:p>
        </w:tc>
        <w:tc>
          <w:tcPr>
            <w:tcW w:w="1587" w:type="dxa"/>
          </w:tcPr>
          <w:p>
            <w:pPr>
              <w:pStyle w:val="0"/>
              <w:jc w:val="center"/>
            </w:pPr>
            <w:r>
              <w:rPr>
                <w:sz w:val="24"/>
              </w:rPr>
              <w:t xml:space="preserve">76427038,80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667,80</w:t>
            </w:r>
          </w:p>
        </w:tc>
        <w:tc>
          <w:tcPr>
            <w:tcW w:w="1531" w:type="dxa"/>
          </w:tcPr>
          <w:p>
            <w:pPr>
              <w:pStyle w:val="0"/>
              <w:jc w:val="center"/>
            </w:pPr>
            <w:r>
              <w:rPr>
                <w:sz w:val="24"/>
              </w:rPr>
              <w:t xml:space="preserve">76427038,80</w:t>
            </w:r>
          </w:p>
        </w:tc>
        <w:tc>
          <w:tcPr>
            <w:tcW w:w="1020" w:type="dxa"/>
          </w:tcPr>
          <w:p>
            <w:pPr>
              <w:pStyle w:val="0"/>
              <w:jc w:val="center"/>
            </w:pPr>
            <w:r>
              <w:rPr>
                <w:sz w:val="24"/>
              </w:rPr>
              <w:t xml:space="preserve">0,00</w:t>
            </w:r>
          </w:p>
        </w:tc>
        <w:tc>
          <w:tcPr>
            <w:tcW w:w="1020" w:type="dxa"/>
          </w:tcPr>
          <w:p>
            <w:pPr>
              <w:pStyle w:val="0"/>
              <w:jc w:val="center"/>
            </w:pPr>
            <w:r>
              <w:rPr>
                <w:sz w:val="24"/>
              </w:rPr>
              <w:t xml:space="preserve">667,80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0,00</w:t>
            </w:r>
          </w:p>
        </w:tc>
      </w:tr>
      <w:tr>
        <w:tc>
          <w:tcPr>
            <w:tcW w:w="567" w:type="dxa"/>
          </w:tcPr>
          <w:p>
            <w:pPr>
              <w:pStyle w:val="0"/>
              <w:jc w:val="both"/>
            </w:pPr>
            <w:r>
              <w:rPr>
                <w:sz w:val="24"/>
              </w:rPr>
              <w:t xml:space="preserve">2</w:t>
            </w:r>
          </w:p>
        </w:tc>
        <w:tc>
          <w:tcPr>
            <w:tcW w:w="2154" w:type="dxa"/>
          </w:tcPr>
          <w:p>
            <w:pPr>
              <w:pStyle w:val="0"/>
              <w:jc w:val="both"/>
            </w:pPr>
            <w:r>
              <w:rPr>
                <w:sz w:val="24"/>
              </w:rPr>
              <w:t xml:space="preserve">Итого по городскому округу Кинешма</w:t>
            </w:r>
          </w:p>
        </w:tc>
        <w:tc>
          <w:tcPr>
            <w:tcW w:w="1077" w:type="dxa"/>
          </w:tcPr>
          <w:p>
            <w:pPr>
              <w:pStyle w:val="0"/>
              <w:jc w:val="center"/>
            </w:pPr>
            <w:r>
              <w:rPr>
                <w:sz w:val="24"/>
              </w:rPr>
              <w:t xml:space="preserve">1464,16</w:t>
            </w:r>
          </w:p>
        </w:tc>
        <w:tc>
          <w:tcPr>
            <w:tcW w:w="1587" w:type="dxa"/>
          </w:tcPr>
          <w:p>
            <w:pPr>
              <w:pStyle w:val="0"/>
              <w:jc w:val="center"/>
            </w:pPr>
            <w:r>
              <w:rPr>
                <w:sz w:val="24"/>
              </w:rPr>
              <w:t xml:space="preserve">96722409,60</w:t>
            </w:r>
          </w:p>
        </w:tc>
        <w:tc>
          <w:tcPr>
            <w:tcW w:w="1020" w:type="dxa"/>
          </w:tcPr>
          <w:p>
            <w:pPr>
              <w:pStyle w:val="0"/>
              <w:jc w:val="center"/>
            </w:pPr>
            <w:r>
              <w:rPr>
                <w:sz w:val="24"/>
              </w:rPr>
              <w:t xml:space="preserve">561,50</w:t>
            </w:r>
          </w:p>
        </w:tc>
        <w:tc>
          <w:tcPr>
            <w:tcW w:w="1020" w:type="dxa"/>
          </w:tcPr>
          <w:p>
            <w:pPr>
              <w:pStyle w:val="0"/>
              <w:jc w:val="center"/>
            </w:pPr>
            <w:r>
              <w:rPr>
                <w:sz w:val="24"/>
              </w:rPr>
              <w:t xml:space="preserve">561,50</w:t>
            </w:r>
          </w:p>
        </w:tc>
        <w:tc>
          <w:tcPr>
            <w:tcW w:w="1531" w:type="dxa"/>
          </w:tcPr>
          <w:p>
            <w:pPr>
              <w:pStyle w:val="0"/>
              <w:jc w:val="center"/>
            </w:pPr>
            <w:r>
              <w:rPr>
                <w:sz w:val="24"/>
              </w:rPr>
              <w:t xml:space="preserve">37092690,00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0,00</w:t>
            </w:r>
          </w:p>
        </w:tc>
        <w:tc>
          <w:tcPr>
            <w:tcW w:w="964" w:type="dxa"/>
          </w:tcPr>
          <w:p>
            <w:pPr>
              <w:pStyle w:val="0"/>
              <w:jc w:val="center"/>
            </w:pPr>
            <w:r>
              <w:rPr>
                <w:sz w:val="24"/>
              </w:rPr>
              <w:t xml:space="preserve">0,00</w:t>
            </w:r>
          </w:p>
        </w:tc>
        <w:tc>
          <w:tcPr>
            <w:tcW w:w="1020" w:type="dxa"/>
          </w:tcPr>
          <w:p>
            <w:pPr>
              <w:pStyle w:val="0"/>
              <w:jc w:val="center"/>
            </w:pPr>
            <w:r>
              <w:rPr>
                <w:sz w:val="24"/>
              </w:rPr>
              <w:t xml:space="preserve">902,66</w:t>
            </w:r>
          </w:p>
        </w:tc>
        <w:tc>
          <w:tcPr>
            <w:tcW w:w="1020" w:type="dxa"/>
          </w:tcPr>
          <w:p>
            <w:pPr>
              <w:pStyle w:val="0"/>
              <w:jc w:val="center"/>
            </w:pPr>
            <w:r>
              <w:rPr>
                <w:sz w:val="24"/>
              </w:rPr>
              <w:t xml:space="preserve">902,66</w:t>
            </w:r>
          </w:p>
        </w:tc>
        <w:tc>
          <w:tcPr>
            <w:tcW w:w="1587" w:type="dxa"/>
          </w:tcPr>
          <w:p>
            <w:pPr>
              <w:pStyle w:val="0"/>
              <w:jc w:val="center"/>
            </w:pPr>
            <w:r>
              <w:rPr>
                <w:sz w:val="24"/>
              </w:rPr>
              <w:t xml:space="preserve">59629719,60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902,66</w:t>
            </w:r>
          </w:p>
        </w:tc>
        <w:tc>
          <w:tcPr>
            <w:tcW w:w="1531" w:type="dxa"/>
          </w:tcPr>
          <w:p>
            <w:pPr>
              <w:pStyle w:val="0"/>
              <w:jc w:val="center"/>
            </w:pPr>
            <w:r>
              <w:rPr>
                <w:sz w:val="24"/>
              </w:rPr>
              <w:t xml:space="preserve">59629719,60</w:t>
            </w:r>
          </w:p>
        </w:tc>
        <w:tc>
          <w:tcPr>
            <w:tcW w:w="1020" w:type="dxa"/>
          </w:tcPr>
          <w:p>
            <w:pPr>
              <w:pStyle w:val="0"/>
              <w:jc w:val="center"/>
            </w:pPr>
            <w:r>
              <w:rPr>
                <w:sz w:val="24"/>
              </w:rPr>
              <w:t xml:space="preserve">0,00</w:t>
            </w:r>
          </w:p>
        </w:tc>
        <w:tc>
          <w:tcPr>
            <w:tcW w:w="1020" w:type="dxa"/>
          </w:tcPr>
          <w:p>
            <w:pPr>
              <w:pStyle w:val="0"/>
              <w:jc w:val="center"/>
            </w:pPr>
            <w:r>
              <w:rPr>
                <w:sz w:val="24"/>
              </w:rPr>
              <w:t xml:space="preserve">902,66</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0,00</w:t>
            </w:r>
          </w:p>
        </w:tc>
      </w:tr>
      <w:tr>
        <w:tc>
          <w:tcPr>
            <w:tcW w:w="567" w:type="dxa"/>
          </w:tcPr>
          <w:p>
            <w:pPr>
              <w:pStyle w:val="0"/>
              <w:jc w:val="both"/>
            </w:pPr>
            <w:r>
              <w:rPr>
                <w:sz w:val="24"/>
              </w:rPr>
              <w:t xml:space="preserve">3</w:t>
            </w:r>
          </w:p>
        </w:tc>
        <w:tc>
          <w:tcPr>
            <w:tcW w:w="2154" w:type="dxa"/>
          </w:tcPr>
          <w:p>
            <w:pPr>
              <w:pStyle w:val="0"/>
              <w:jc w:val="both"/>
            </w:pPr>
            <w:r>
              <w:rPr>
                <w:sz w:val="24"/>
              </w:rPr>
              <w:t xml:space="preserve">Итого по городскому округу Кохма</w:t>
            </w:r>
          </w:p>
        </w:tc>
        <w:tc>
          <w:tcPr>
            <w:tcW w:w="1077" w:type="dxa"/>
          </w:tcPr>
          <w:p>
            <w:pPr>
              <w:pStyle w:val="0"/>
              <w:jc w:val="center"/>
            </w:pPr>
            <w:r>
              <w:rPr>
                <w:sz w:val="24"/>
              </w:rPr>
              <w:t xml:space="preserve">409,00</w:t>
            </w:r>
          </w:p>
        </w:tc>
        <w:tc>
          <w:tcPr>
            <w:tcW w:w="1587" w:type="dxa"/>
          </w:tcPr>
          <w:p>
            <w:pPr>
              <w:pStyle w:val="0"/>
              <w:jc w:val="center"/>
            </w:pPr>
            <w:r>
              <w:rPr>
                <w:sz w:val="24"/>
              </w:rPr>
              <w:t xml:space="preserve">41171985,00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1531" w:type="dxa"/>
          </w:tcPr>
          <w:p>
            <w:pPr>
              <w:pStyle w:val="0"/>
              <w:jc w:val="center"/>
            </w:pPr>
            <w:r>
              <w:rPr>
                <w:sz w:val="24"/>
              </w:rPr>
              <w:t xml:space="preserve">0,00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0,00</w:t>
            </w:r>
          </w:p>
        </w:tc>
        <w:tc>
          <w:tcPr>
            <w:tcW w:w="964" w:type="dxa"/>
          </w:tcPr>
          <w:p>
            <w:pPr>
              <w:pStyle w:val="0"/>
              <w:jc w:val="center"/>
            </w:pPr>
            <w:r>
              <w:rPr>
                <w:sz w:val="24"/>
              </w:rPr>
              <w:t xml:space="preserve">0,00</w:t>
            </w:r>
          </w:p>
        </w:tc>
        <w:tc>
          <w:tcPr>
            <w:tcW w:w="1020" w:type="dxa"/>
          </w:tcPr>
          <w:p>
            <w:pPr>
              <w:pStyle w:val="0"/>
              <w:jc w:val="center"/>
            </w:pPr>
            <w:r>
              <w:rPr>
                <w:sz w:val="24"/>
              </w:rPr>
              <w:t xml:space="preserve">409,00</w:t>
            </w:r>
          </w:p>
        </w:tc>
        <w:tc>
          <w:tcPr>
            <w:tcW w:w="1020" w:type="dxa"/>
          </w:tcPr>
          <w:p>
            <w:pPr>
              <w:pStyle w:val="0"/>
              <w:jc w:val="center"/>
            </w:pPr>
            <w:r>
              <w:rPr>
                <w:sz w:val="24"/>
              </w:rPr>
              <w:t xml:space="preserve">409,00</w:t>
            </w:r>
          </w:p>
        </w:tc>
        <w:tc>
          <w:tcPr>
            <w:tcW w:w="1587" w:type="dxa"/>
          </w:tcPr>
          <w:p>
            <w:pPr>
              <w:pStyle w:val="0"/>
              <w:jc w:val="center"/>
            </w:pPr>
            <w:r>
              <w:rPr>
                <w:sz w:val="24"/>
              </w:rPr>
              <w:t xml:space="preserve">41171985,00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409,00</w:t>
            </w:r>
          </w:p>
        </w:tc>
        <w:tc>
          <w:tcPr>
            <w:tcW w:w="1531" w:type="dxa"/>
          </w:tcPr>
          <w:p>
            <w:pPr>
              <w:pStyle w:val="0"/>
              <w:jc w:val="center"/>
            </w:pPr>
            <w:r>
              <w:rPr>
                <w:sz w:val="24"/>
              </w:rPr>
              <w:t xml:space="preserve">41171985,00</w:t>
            </w:r>
          </w:p>
        </w:tc>
        <w:tc>
          <w:tcPr>
            <w:tcW w:w="1020" w:type="dxa"/>
          </w:tcPr>
          <w:p>
            <w:pPr>
              <w:pStyle w:val="0"/>
              <w:jc w:val="center"/>
            </w:pPr>
            <w:r>
              <w:rPr>
                <w:sz w:val="24"/>
              </w:rPr>
              <w:t xml:space="preserve">0,00</w:t>
            </w:r>
          </w:p>
        </w:tc>
        <w:tc>
          <w:tcPr>
            <w:tcW w:w="1020" w:type="dxa"/>
          </w:tcPr>
          <w:p>
            <w:pPr>
              <w:pStyle w:val="0"/>
              <w:jc w:val="center"/>
            </w:pPr>
            <w:r>
              <w:rPr>
                <w:sz w:val="24"/>
              </w:rPr>
              <w:t xml:space="preserve">35,70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373,30</w:t>
            </w:r>
          </w:p>
        </w:tc>
      </w:tr>
      <w:tr>
        <w:tc>
          <w:tcPr>
            <w:tcW w:w="567" w:type="dxa"/>
          </w:tcPr>
          <w:p>
            <w:pPr>
              <w:pStyle w:val="0"/>
              <w:jc w:val="both"/>
            </w:pPr>
            <w:r>
              <w:rPr>
                <w:sz w:val="24"/>
              </w:rPr>
              <w:t xml:space="preserve">4</w:t>
            </w:r>
          </w:p>
        </w:tc>
        <w:tc>
          <w:tcPr>
            <w:tcW w:w="2154" w:type="dxa"/>
          </w:tcPr>
          <w:p>
            <w:pPr>
              <w:pStyle w:val="0"/>
              <w:jc w:val="both"/>
            </w:pPr>
            <w:r>
              <w:rPr>
                <w:sz w:val="24"/>
              </w:rPr>
              <w:t xml:space="preserve">Итого по Заволжскому городскому поселению Заволжского муниципального района</w:t>
            </w:r>
          </w:p>
        </w:tc>
        <w:tc>
          <w:tcPr>
            <w:tcW w:w="1077" w:type="dxa"/>
          </w:tcPr>
          <w:p>
            <w:pPr>
              <w:pStyle w:val="0"/>
              <w:jc w:val="center"/>
            </w:pPr>
            <w:r>
              <w:rPr>
                <w:sz w:val="24"/>
              </w:rPr>
              <w:t xml:space="preserve">338,70</w:t>
            </w:r>
          </w:p>
        </w:tc>
        <w:tc>
          <w:tcPr>
            <w:tcW w:w="1587" w:type="dxa"/>
          </w:tcPr>
          <w:p>
            <w:pPr>
              <w:pStyle w:val="0"/>
              <w:jc w:val="center"/>
            </w:pPr>
            <w:r>
              <w:rPr>
                <w:sz w:val="24"/>
              </w:rPr>
              <w:t xml:space="preserve">15478590,00</w:t>
            </w:r>
          </w:p>
        </w:tc>
        <w:tc>
          <w:tcPr>
            <w:tcW w:w="1020" w:type="dxa"/>
          </w:tcPr>
          <w:p>
            <w:pPr>
              <w:pStyle w:val="0"/>
              <w:jc w:val="center"/>
            </w:pPr>
            <w:r>
              <w:rPr>
                <w:sz w:val="24"/>
              </w:rPr>
              <w:t xml:space="preserve">42,20</w:t>
            </w:r>
          </w:p>
        </w:tc>
        <w:tc>
          <w:tcPr>
            <w:tcW w:w="1020" w:type="dxa"/>
          </w:tcPr>
          <w:p>
            <w:pPr>
              <w:pStyle w:val="0"/>
              <w:jc w:val="center"/>
            </w:pPr>
            <w:r>
              <w:rPr>
                <w:sz w:val="24"/>
              </w:rPr>
              <w:t xml:space="preserve">42,20</w:t>
            </w:r>
          </w:p>
        </w:tc>
        <w:tc>
          <w:tcPr>
            <w:tcW w:w="1531" w:type="dxa"/>
          </w:tcPr>
          <w:p>
            <w:pPr>
              <w:pStyle w:val="0"/>
              <w:jc w:val="center"/>
            </w:pPr>
            <w:r>
              <w:rPr>
                <w:sz w:val="24"/>
              </w:rPr>
              <w:t xml:space="preserve">1928540,00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0,00</w:t>
            </w:r>
          </w:p>
        </w:tc>
        <w:tc>
          <w:tcPr>
            <w:tcW w:w="964" w:type="dxa"/>
          </w:tcPr>
          <w:p>
            <w:pPr>
              <w:pStyle w:val="0"/>
              <w:jc w:val="center"/>
            </w:pPr>
            <w:r>
              <w:rPr>
                <w:sz w:val="24"/>
              </w:rPr>
              <w:t xml:space="preserve">0,00</w:t>
            </w:r>
          </w:p>
        </w:tc>
        <w:tc>
          <w:tcPr>
            <w:tcW w:w="1020" w:type="dxa"/>
          </w:tcPr>
          <w:p>
            <w:pPr>
              <w:pStyle w:val="0"/>
              <w:jc w:val="center"/>
            </w:pPr>
            <w:r>
              <w:rPr>
                <w:sz w:val="24"/>
              </w:rPr>
              <w:t xml:space="preserve">296,50</w:t>
            </w:r>
          </w:p>
        </w:tc>
        <w:tc>
          <w:tcPr>
            <w:tcW w:w="1020" w:type="dxa"/>
          </w:tcPr>
          <w:p>
            <w:pPr>
              <w:pStyle w:val="0"/>
              <w:jc w:val="center"/>
            </w:pPr>
            <w:r>
              <w:rPr>
                <w:sz w:val="24"/>
              </w:rPr>
              <w:t xml:space="preserve">296,50</w:t>
            </w:r>
          </w:p>
        </w:tc>
        <w:tc>
          <w:tcPr>
            <w:tcW w:w="1587" w:type="dxa"/>
          </w:tcPr>
          <w:p>
            <w:pPr>
              <w:pStyle w:val="0"/>
              <w:jc w:val="center"/>
            </w:pPr>
            <w:r>
              <w:rPr>
                <w:sz w:val="24"/>
              </w:rPr>
              <w:t xml:space="preserve">13550050,00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296,50</w:t>
            </w:r>
          </w:p>
        </w:tc>
        <w:tc>
          <w:tcPr>
            <w:tcW w:w="1531" w:type="dxa"/>
          </w:tcPr>
          <w:p>
            <w:pPr>
              <w:pStyle w:val="0"/>
              <w:jc w:val="center"/>
            </w:pPr>
            <w:r>
              <w:rPr>
                <w:sz w:val="24"/>
              </w:rPr>
              <w:t xml:space="preserve">13550050,00</w:t>
            </w:r>
          </w:p>
        </w:tc>
        <w:tc>
          <w:tcPr>
            <w:tcW w:w="1020" w:type="dxa"/>
          </w:tcPr>
          <w:p>
            <w:pPr>
              <w:pStyle w:val="0"/>
              <w:jc w:val="center"/>
            </w:pPr>
            <w:r>
              <w:rPr>
                <w:sz w:val="24"/>
              </w:rPr>
              <w:t xml:space="preserve">0,00</w:t>
            </w:r>
          </w:p>
        </w:tc>
        <w:tc>
          <w:tcPr>
            <w:tcW w:w="1020" w:type="dxa"/>
          </w:tcPr>
          <w:p>
            <w:pPr>
              <w:pStyle w:val="0"/>
              <w:jc w:val="center"/>
            </w:pPr>
            <w:r>
              <w:rPr>
                <w:sz w:val="24"/>
              </w:rPr>
              <w:t xml:space="preserve">296,50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0,00</w:t>
            </w:r>
          </w:p>
        </w:tc>
      </w:tr>
      <w:tr>
        <w:tc>
          <w:tcPr>
            <w:tcW w:w="567" w:type="dxa"/>
          </w:tcPr>
          <w:p>
            <w:pPr>
              <w:pStyle w:val="0"/>
              <w:jc w:val="both"/>
            </w:pPr>
            <w:r>
              <w:rPr>
                <w:sz w:val="24"/>
              </w:rPr>
              <w:t xml:space="preserve">5</w:t>
            </w:r>
          </w:p>
        </w:tc>
        <w:tc>
          <w:tcPr>
            <w:tcW w:w="2154" w:type="dxa"/>
          </w:tcPr>
          <w:p>
            <w:pPr>
              <w:pStyle w:val="0"/>
              <w:jc w:val="both"/>
            </w:pPr>
            <w:r>
              <w:rPr>
                <w:sz w:val="24"/>
              </w:rPr>
              <w:t xml:space="preserve">Итого по Лежневскому городскому поселению Лежневского муниципального района</w:t>
            </w:r>
          </w:p>
        </w:tc>
        <w:tc>
          <w:tcPr>
            <w:tcW w:w="1077" w:type="dxa"/>
          </w:tcPr>
          <w:p>
            <w:pPr>
              <w:pStyle w:val="0"/>
              <w:jc w:val="center"/>
            </w:pPr>
            <w:r>
              <w:rPr>
                <w:sz w:val="24"/>
              </w:rPr>
              <w:t xml:space="preserve">96,80</w:t>
            </w:r>
          </w:p>
        </w:tc>
        <w:tc>
          <w:tcPr>
            <w:tcW w:w="1587" w:type="dxa"/>
          </w:tcPr>
          <w:p>
            <w:pPr>
              <w:pStyle w:val="0"/>
              <w:jc w:val="center"/>
            </w:pPr>
            <w:r>
              <w:rPr>
                <w:sz w:val="24"/>
              </w:rPr>
              <w:t xml:space="preserve">2379000,00</w:t>
            </w:r>
          </w:p>
        </w:tc>
        <w:tc>
          <w:tcPr>
            <w:tcW w:w="1020" w:type="dxa"/>
          </w:tcPr>
          <w:p>
            <w:pPr>
              <w:pStyle w:val="0"/>
              <w:jc w:val="center"/>
            </w:pPr>
            <w:r>
              <w:rPr>
                <w:sz w:val="24"/>
              </w:rPr>
              <w:t xml:space="preserve">96,80</w:t>
            </w:r>
          </w:p>
        </w:tc>
        <w:tc>
          <w:tcPr>
            <w:tcW w:w="1020" w:type="dxa"/>
          </w:tcPr>
          <w:p>
            <w:pPr>
              <w:pStyle w:val="0"/>
              <w:jc w:val="center"/>
            </w:pPr>
            <w:r>
              <w:rPr>
                <w:sz w:val="24"/>
              </w:rPr>
              <w:t xml:space="preserve">96,80</w:t>
            </w:r>
          </w:p>
        </w:tc>
        <w:tc>
          <w:tcPr>
            <w:tcW w:w="1531" w:type="dxa"/>
          </w:tcPr>
          <w:p>
            <w:pPr>
              <w:pStyle w:val="0"/>
              <w:jc w:val="center"/>
            </w:pPr>
            <w:r>
              <w:rPr>
                <w:sz w:val="24"/>
              </w:rPr>
              <w:t xml:space="preserve">2379000,00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0,00</w:t>
            </w:r>
          </w:p>
        </w:tc>
        <w:tc>
          <w:tcPr>
            <w:tcW w:w="964" w:type="dxa"/>
          </w:tcPr>
          <w:p>
            <w:pPr>
              <w:pStyle w:val="0"/>
              <w:jc w:val="center"/>
            </w:pPr>
            <w:r>
              <w:rPr>
                <w:sz w:val="24"/>
              </w:rPr>
              <w:t xml:space="preserve">0,00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1587"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0,00</w:t>
            </w:r>
          </w:p>
        </w:tc>
        <w:tc>
          <w:tcPr>
            <w:tcW w:w="1531" w:type="dxa"/>
          </w:tcPr>
          <w:p>
            <w:pPr>
              <w:pStyle w:val="0"/>
              <w:jc w:val="center"/>
            </w:pPr>
            <w:r>
              <w:rPr>
                <w:sz w:val="24"/>
              </w:rPr>
              <w:t xml:space="preserve">0,00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0,00</w:t>
            </w:r>
          </w:p>
        </w:tc>
      </w:tr>
      <w:tr>
        <w:tc>
          <w:tcPr>
            <w:tcW w:w="567" w:type="dxa"/>
          </w:tcPr>
          <w:p>
            <w:pPr>
              <w:pStyle w:val="0"/>
              <w:jc w:val="both"/>
            </w:pPr>
            <w:r>
              <w:rPr>
                <w:sz w:val="24"/>
              </w:rPr>
              <w:t xml:space="preserve">6</w:t>
            </w:r>
          </w:p>
        </w:tc>
        <w:tc>
          <w:tcPr>
            <w:tcW w:w="2154" w:type="dxa"/>
          </w:tcPr>
          <w:p>
            <w:pPr>
              <w:pStyle w:val="0"/>
              <w:jc w:val="both"/>
            </w:pPr>
            <w:r>
              <w:rPr>
                <w:sz w:val="24"/>
              </w:rPr>
              <w:t xml:space="preserve">Итого по Савинскому городскому поселению Савинского муниципального района</w:t>
            </w:r>
          </w:p>
        </w:tc>
        <w:tc>
          <w:tcPr>
            <w:tcW w:w="1077" w:type="dxa"/>
          </w:tcPr>
          <w:p>
            <w:pPr>
              <w:pStyle w:val="0"/>
              <w:jc w:val="center"/>
            </w:pPr>
            <w:r>
              <w:rPr>
                <w:sz w:val="24"/>
              </w:rPr>
              <w:t xml:space="preserve">313,30</w:t>
            </w:r>
          </w:p>
        </w:tc>
        <w:tc>
          <w:tcPr>
            <w:tcW w:w="1587" w:type="dxa"/>
          </w:tcPr>
          <w:p>
            <w:pPr>
              <w:pStyle w:val="0"/>
              <w:jc w:val="center"/>
            </w:pPr>
            <w:r>
              <w:rPr>
                <w:sz w:val="24"/>
              </w:rPr>
              <w:t xml:space="preserve">10880708,48</w:t>
            </w:r>
          </w:p>
        </w:tc>
        <w:tc>
          <w:tcPr>
            <w:tcW w:w="1020" w:type="dxa"/>
          </w:tcPr>
          <w:p>
            <w:pPr>
              <w:pStyle w:val="0"/>
              <w:jc w:val="center"/>
            </w:pPr>
            <w:r>
              <w:rPr>
                <w:sz w:val="24"/>
              </w:rPr>
              <w:t xml:space="preserve">119,40</w:t>
            </w:r>
          </w:p>
        </w:tc>
        <w:tc>
          <w:tcPr>
            <w:tcW w:w="1020" w:type="dxa"/>
          </w:tcPr>
          <w:p>
            <w:pPr>
              <w:pStyle w:val="0"/>
              <w:jc w:val="center"/>
            </w:pPr>
            <w:r>
              <w:rPr>
                <w:sz w:val="24"/>
              </w:rPr>
              <w:t xml:space="preserve">119,40</w:t>
            </w:r>
          </w:p>
        </w:tc>
        <w:tc>
          <w:tcPr>
            <w:tcW w:w="1531" w:type="dxa"/>
          </w:tcPr>
          <w:p>
            <w:pPr>
              <w:pStyle w:val="0"/>
              <w:jc w:val="center"/>
            </w:pPr>
            <w:r>
              <w:rPr>
                <w:sz w:val="24"/>
              </w:rPr>
              <w:t xml:space="preserve">1359000,00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0,00</w:t>
            </w:r>
          </w:p>
        </w:tc>
        <w:tc>
          <w:tcPr>
            <w:tcW w:w="964" w:type="dxa"/>
          </w:tcPr>
          <w:p>
            <w:pPr>
              <w:pStyle w:val="0"/>
              <w:jc w:val="center"/>
            </w:pPr>
            <w:r>
              <w:rPr>
                <w:sz w:val="24"/>
              </w:rPr>
              <w:t xml:space="preserve">0,00</w:t>
            </w:r>
          </w:p>
        </w:tc>
        <w:tc>
          <w:tcPr>
            <w:tcW w:w="1020" w:type="dxa"/>
          </w:tcPr>
          <w:p>
            <w:pPr>
              <w:pStyle w:val="0"/>
              <w:jc w:val="center"/>
            </w:pPr>
            <w:r>
              <w:rPr>
                <w:sz w:val="24"/>
              </w:rPr>
              <w:t xml:space="preserve">193,90</w:t>
            </w:r>
          </w:p>
        </w:tc>
        <w:tc>
          <w:tcPr>
            <w:tcW w:w="1020" w:type="dxa"/>
          </w:tcPr>
          <w:p>
            <w:pPr>
              <w:pStyle w:val="0"/>
              <w:jc w:val="center"/>
            </w:pPr>
            <w:r>
              <w:rPr>
                <w:sz w:val="24"/>
              </w:rPr>
              <w:t xml:space="preserve">193,90</w:t>
            </w:r>
          </w:p>
        </w:tc>
        <w:tc>
          <w:tcPr>
            <w:tcW w:w="1587" w:type="dxa"/>
          </w:tcPr>
          <w:p>
            <w:pPr>
              <w:pStyle w:val="0"/>
              <w:jc w:val="center"/>
            </w:pPr>
            <w:r>
              <w:rPr>
                <w:sz w:val="24"/>
              </w:rPr>
              <w:t xml:space="preserve">9521708,48</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193,90</w:t>
            </w:r>
          </w:p>
        </w:tc>
        <w:tc>
          <w:tcPr>
            <w:tcW w:w="1531" w:type="dxa"/>
          </w:tcPr>
          <w:p>
            <w:pPr>
              <w:pStyle w:val="0"/>
              <w:jc w:val="center"/>
            </w:pPr>
            <w:r>
              <w:rPr>
                <w:sz w:val="24"/>
              </w:rPr>
              <w:t xml:space="preserve">9521708,48</w:t>
            </w:r>
          </w:p>
        </w:tc>
        <w:tc>
          <w:tcPr>
            <w:tcW w:w="1020" w:type="dxa"/>
          </w:tcPr>
          <w:p>
            <w:pPr>
              <w:pStyle w:val="0"/>
              <w:jc w:val="center"/>
            </w:pPr>
            <w:r>
              <w:rPr>
                <w:sz w:val="24"/>
              </w:rPr>
              <w:t xml:space="preserve">0,00</w:t>
            </w:r>
          </w:p>
        </w:tc>
        <w:tc>
          <w:tcPr>
            <w:tcW w:w="1020" w:type="dxa"/>
          </w:tcPr>
          <w:p>
            <w:pPr>
              <w:pStyle w:val="0"/>
              <w:jc w:val="center"/>
            </w:pPr>
            <w:r>
              <w:rPr>
                <w:sz w:val="24"/>
              </w:rPr>
              <w:t xml:space="preserve">120,70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73,20</w:t>
            </w:r>
          </w:p>
        </w:tc>
      </w:tr>
      <w:tr>
        <w:tc>
          <w:tcPr>
            <w:tcW w:w="567" w:type="dxa"/>
          </w:tcPr>
          <w:p>
            <w:pPr>
              <w:pStyle w:val="0"/>
              <w:jc w:val="both"/>
            </w:pPr>
            <w:r>
              <w:rPr>
                <w:sz w:val="24"/>
              </w:rPr>
              <w:t xml:space="preserve">7</w:t>
            </w:r>
          </w:p>
        </w:tc>
        <w:tc>
          <w:tcPr>
            <w:tcW w:w="2154" w:type="dxa"/>
          </w:tcPr>
          <w:p>
            <w:pPr>
              <w:pStyle w:val="0"/>
              <w:jc w:val="both"/>
            </w:pPr>
            <w:r>
              <w:rPr>
                <w:sz w:val="24"/>
              </w:rPr>
              <w:t xml:space="preserve">Итого по Фурмановскому городскому поселению Фурмановского муниципального района</w:t>
            </w:r>
          </w:p>
        </w:tc>
        <w:tc>
          <w:tcPr>
            <w:tcW w:w="1077" w:type="dxa"/>
          </w:tcPr>
          <w:p>
            <w:pPr>
              <w:pStyle w:val="0"/>
              <w:jc w:val="center"/>
            </w:pPr>
            <w:r>
              <w:rPr>
                <w:sz w:val="24"/>
              </w:rPr>
              <w:t xml:space="preserve">348,80</w:t>
            </w:r>
          </w:p>
        </w:tc>
        <w:tc>
          <w:tcPr>
            <w:tcW w:w="1587" w:type="dxa"/>
          </w:tcPr>
          <w:p>
            <w:pPr>
              <w:pStyle w:val="0"/>
              <w:jc w:val="center"/>
            </w:pPr>
            <w:r>
              <w:rPr>
                <w:sz w:val="24"/>
              </w:rPr>
              <w:t xml:space="preserve">16742400,00</w:t>
            </w:r>
          </w:p>
        </w:tc>
        <w:tc>
          <w:tcPr>
            <w:tcW w:w="1020" w:type="dxa"/>
          </w:tcPr>
          <w:p>
            <w:pPr>
              <w:pStyle w:val="0"/>
              <w:jc w:val="center"/>
            </w:pPr>
            <w:r>
              <w:rPr>
                <w:sz w:val="24"/>
              </w:rPr>
              <w:t xml:space="preserve">327,60</w:t>
            </w:r>
          </w:p>
        </w:tc>
        <w:tc>
          <w:tcPr>
            <w:tcW w:w="1020" w:type="dxa"/>
          </w:tcPr>
          <w:p>
            <w:pPr>
              <w:pStyle w:val="0"/>
              <w:jc w:val="center"/>
            </w:pPr>
            <w:r>
              <w:rPr>
                <w:sz w:val="24"/>
              </w:rPr>
              <w:t xml:space="preserve">327,60</w:t>
            </w:r>
          </w:p>
        </w:tc>
        <w:tc>
          <w:tcPr>
            <w:tcW w:w="1531" w:type="dxa"/>
          </w:tcPr>
          <w:p>
            <w:pPr>
              <w:pStyle w:val="0"/>
              <w:jc w:val="center"/>
            </w:pPr>
            <w:r>
              <w:rPr>
                <w:sz w:val="24"/>
              </w:rPr>
              <w:t xml:space="preserve">15724800,00</w:t>
            </w:r>
          </w:p>
        </w:tc>
        <w:tc>
          <w:tcPr>
            <w:tcW w:w="1077" w:type="dxa"/>
          </w:tcPr>
          <w:p>
            <w:pPr>
              <w:pStyle w:val="0"/>
              <w:jc w:val="center"/>
            </w:pPr>
            <w:r>
              <w:rPr>
                <w:sz w:val="24"/>
              </w:rPr>
              <w:t xml:space="preserve">0,00</w:t>
            </w:r>
          </w:p>
        </w:tc>
        <w:tc>
          <w:tcPr>
            <w:tcW w:w="907" w:type="dxa"/>
          </w:tcPr>
          <w:p>
            <w:pPr>
              <w:pStyle w:val="0"/>
              <w:jc w:val="center"/>
            </w:pPr>
            <w:r>
              <w:rPr>
                <w:sz w:val="24"/>
              </w:rPr>
              <w:t xml:space="preserve">0,00</w:t>
            </w:r>
          </w:p>
        </w:tc>
        <w:tc>
          <w:tcPr>
            <w:tcW w:w="794" w:type="dxa"/>
          </w:tcPr>
          <w:p>
            <w:pPr>
              <w:pStyle w:val="0"/>
              <w:jc w:val="center"/>
            </w:pPr>
            <w:r>
              <w:rPr>
                <w:sz w:val="24"/>
              </w:rPr>
              <w:t xml:space="preserve">0,00</w:t>
            </w:r>
          </w:p>
        </w:tc>
        <w:tc>
          <w:tcPr>
            <w:tcW w:w="907" w:type="dxa"/>
          </w:tcPr>
          <w:p>
            <w:pPr>
              <w:pStyle w:val="0"/>
              <w:jc w:val="center"/>
            </w:pPr>
            <w:r>
              <w:rPr>
                <w:sz w:val="24"/>
              </w:rPr>
              <w:t xml:space="preserve">0,00</w:t>
            </w:r>
          </w:p>
        </w:tc>
        <w:tc>
          <w:tcPr>
            <w:tcW w:w="1020" w:type="dxa"/>
          </w:tcPr>
          <w:p>
            <w:pPr>
              <w:pStyle w:val="0"/>
              <w:jc w:val="center"/>
            </w:pPr>
            <w:r>
              <w:rPr>
                <w:sz w:val="24"/>
              </w:rPr>
              <w:t xml:space="preserve">0,00</w:t>
            </w:r>
          </w:p>
        </w:tc>
        <w:tc>
          <w:tcPr>
            <w:tcW w:w="964" w:type="dxa"/>
          </w:tcPr>
          <w:p>
            <w:pPr>
              <w:pStyle w:val="0"/>
              <w:jc w:val="center"/>
            </w:pPr>
            <w:r>
              <w:rPr>
                <w:sz w:val="24"/>
              </w:rPr>
              <w:t xml:space="preserve">0,00</w:t>
            </w:r>
          </w:p>
        </w:tc>
        <w:tc>
          <w:tcPr>
            <w:tcW w:w="1020" w:type="dxa"/>
          </w:tcPr>
          <w:p>
            <w:pPr>
              <w:pStyle w:val="0"/>
              <w:jc w:val="center"/>
            </w:pPr>
            <w:r>
              <w:rPr>
                <w:sz w:val="24"/>
              </w:rPr>
              <w:t xml:space="preserve">21,20</w:t>
            </w:r>
          </w:p>
        </w:tc>
        <w:tc>
          <w:tcPr>
            <w:tcW w:w="1020" w:type="dxa"/>
          </w:tcPr>
          <w:p>
            <w:pPr>
              <w:pStyle w:val="0"/>
              <w:jc w:val="center"/>
            </w:pPr>
            <w:r>
              <w:rPr>
                <w:sz w:val="24"/>
              </w:rPr>
              <w:t xml:space="preserve">21,20</w:t>
            </w:r>
          </w:p>
        </w:tc>
        <w:tc>
          <w:tcPr>
            <w:tcW w:w="1587" w:type="dxa"/>
          </w:tcPr>
          <w:p>
            <w:pPr>
              <w:pStyle w:val="0"/>
              <w:jc w:val="center"/>
            </w:pPr>
            <w:r>
              <w:rPr>
                <w:sz w:val="24"/>
              </w:rPr>
              <w:t xml:space="preserve">1017600,00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794" w:type="dxa"/>
          </w:tcPr>
          <w:p>
            <w:pPr>
              <w:pStyle w:val="0"/>
              <w:jc w:val="center"/>
            </w:pPr>
            <w:r>
              <w:rPr>
                <w:sz w:val="24"/>
              </w:rPr>
              <w:t xml:space="preserve">0,00</w:t>
            </w:r>
          </w:p>
        </w:tc>
        <w:tc>
          <w:tcPr>
            <w:tcW w:w="849" w:type="dxa"/>
          </w:tcPr>
          <w:p>
            <w:pPr>
              <w:pStyle w:val="0"/>
              <w:jc w:val="center"/>
            </w:pPr>
            <w:r>
              <w:rPr>
                <w:sz w:val="24"/>
              </w:rPr>
              <w:t xml:space="preserve">0,00</w:t>
            </w:r>
          </w:p>
        </w:tc>
        <w:tc>
          <w:tcPr>
            <w:tcW w:w="794" w:type="dxa"/>
          </w:tcPr>
          <w:p>
            <w:pPr>
              <w:pStyle w:val="0"/>
              <w:jc w:val="center"/>
            </w:pPr>
            <w:r>
              <w:rPr>
                <w:sz w:val="24"/>
              </w:rPr>
              <w:t xml:space="preserve">0,00</w:t>
            </w:r>
          </w:p>
        </w:tc>
        <w:tc>
          <w:tcPr>
            <w:tcW w:w="1020" w:type="dxa"/>
          </w:tcPr>
          <w:p>
            <w:pPr>
              <w:pStyle w:val="0"/>
              <w:jc w:val="center"/>
            </w:pPr>
            <w:r>
              <w:rPr>
                <w:sz w:val="24"/>
              </w:rPr>
              <w:t xml:space="preserve">21,20</w:t>
            </w:r>
          </w:p>
        </w:tc>
        <w:tc>
          <w:tcPr>
            <w:tcW w:w="1531" w:type="dxa"/>
          </w:tcPr>
          <w:p>
            <w:pPr>
              <w:pStyle w:val="0"/>
              <w:jc w:val="center"/>
            </w:pPr>
            <w:r>
              <w:rPr>
                <w:sz w:val="24"/>
              </w:rPr>
              <w:t xml:space="preserve">1017600,00</w:t>
            </w:r>
          </w:p>
        </w:tc>
        <w:tc>
          <w:tcPr>
            <w:tcW w:w="1020" w:type="dxa"/>
          </w:tcPr>
          <w:p>
            <w:pPr>
              <w:pStyle w:val="0"/>
              <w:jc w:val="center"/>
            </w:pPr>
            <w:r>
              <w:rPr>
                <w:sz w:val="24"/>
              </w:rPr>
              <w:t xml:space="preserve">0,00</w:t>
            </w:r>
          </w:p>
        </w:tc>
        <w:tc>
          <w:tcPr>
            <w:tcW w:w="1020" w:type="dxa"/>
          </w:tcPr>
          <w:p>
            <w:pPr>
              <w:pStyle w:val="0"/>
              <w:jc w:val="center"/>
            </w:pPr>
            <w:r>
              <w:rPr>
                <w:sz w:val="24"/>
              </w:rPr>
              <w:t xml:space="preserve">21,20</w:t>
            </w:r>
          </w:p>
        </w:tc>
        <w:tc>
          <w:tcPr>
            <w:tcW w:w="1020" w:type="dxa"/>
          </w:tcPr>
          <w:p>
            <w:pPr>
              <w:pStyle w:val="0"/>
              <w:jc w:val="center"/>
            </w:pPr>
            <w:r>
              <w:rPr>
                <w:sz w:val="24"/>
              </w:rPr>
              <w:t xml:space="preserve">0,00</w:t>
            </w:r>
          </w:p>
        </w:tc>
        <w:tc>
          <w:tcPr>
            <w:tcW w:w="1020" w:type="dxa"/>
          </w:tcPr>
          <w:p>
            <w:pPr>
              <w:pStyle w:val="0"/>
              <w:jc w:val="center"/>
            </w:pPr>
            <w:r>
              <w:rPr>
                <w:sz w:val="24"/>
              </w:rPr>
              <w:t xml:space="preserve">0,00</w:t>
            </w:r>
          </w:p>
        </w:tc>
        <w:tc>
          <w:tcPr>
            <w:tcW w:w="850" w:type="dxa"/>
          </w:tcPr>
          <w:p>
            <w:pPr>
              <w:pStyle w:val="0"/>
              <w:jc w:val="center"/>
            </w:pPr>
            <w:r>
              <w:rPr>
                <w:sz w:val="24"/>
              </w:rPr>
              <w:t xml:space="preserve">0,00</w:t>
            </w:r>
          </w:p>
        </w:tc>
      </w:tr>
    </w:tbl>
    <w:p>
      <w:pPr>
        <w:sectPr>
          <w:headerReference w:type="default" r:id="rId118"/>
          <w:headerReference w:type="first" r:id="rId118"/>
          <w:footerReference w:type="default" r:id="rId119"/>
          <w:footerReference w:type="first" r:id="rId119"/>
          <w:pgSz w:w="16838" w:h="11906" w:orient="landscape"/>
          <w:pgMar w:top="1133" w:right="397" w:bottom="566" w:left="397" w:header="0" w:footer="0" w:gutter="0"/>
          <w:titlePg/>
        </w:sectPr>
      </w:pP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1"/>
        <w:jc w:val="right"/>
      </w:pPr>
      <w:r>
        <w:rPr>
          <w:sz w:val="24"/>
        </w:rPr>
        <w:t xml:space="preserve">Приложение 3</w:t>
      </w:r>
    </w:p>
    <w:p>
      <w:pPr>
        <w:pStyle w:val="0"/>
        <w:jc w:val="right"/>
      </w:pPr>
      <w:r>
        <w:rPr>
          <w:sz w:val="24"/>
        </w:rPr>
        <w:t xml:space="preserve">к Программе</w:t>
      </w:r>
    </w:p>
    <w:p>
      <w:pPr>
        <w:pStyle w:val="0"/>
      </w:pPr>
      <w:r>
        <w:rPr>
          <w:sz w:val="24"/>
        </w:rPr>
      </w:r>
    </w:p>
    <w:bookmarkStart w:id="1596" w:name="P1596"/>
    <w:bookmarkEnd w:id="1596"/>
    <w:p>
      <w:pPr>
        <w:pStyle w:val="2"/>
        <w:jc w:val="center"/>
      </w:pPr>
      <w:r>
        <w:rPr>
          <w:sz w:val="24"/>
        </w:rPr>
        <w:t xml:space="preserve">План мероприятий по переселению граждан</w:t>
      </w:r>
    </w:p>
    <w:p>
      <w:pPr>
        <w:pStyle w:val="2"/>
        <w:jc w:val="center"/>
      </w:pPr>
      <w:r>
        <w:rPr>
          <w:sz w:val="24"/>
        </w:rPr>
        <w:t xml:space="preserve">из аварийного жилищного фонда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1"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color w:val="392c69"/>
              </w:rPr>
              <w:t xml:space="preserve"> Правительства Ивановской области</w:t>
            </w:r>
          </w:p>
          <w:p>
            <w:pPr>
              <w:pStyle w:val="0"/>
              <w:jc w:val="center"/>
            </w:pPr>
            <w:r>
              <w:rPr>
                <w:sz w:val="24"/>
                <w:color w:val="392c69"/>
              </w:rPr>
              <w:t xml:space="preserve">от 22.05.2026 N 204-п)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324"/>
        <w:gridCol w:w="1134"/>
        <w:gridCol w:w="737"/>
        <w:gridCol w:w="1134"/>
        <w:gridCol w:w="1020"/>
        <w:gridCol w:w="1191"/>
        <w:gridCol w:w="1191"/>
        <w:gridCol w:w="1134"/>
        <w:gridCol w:w="1701"/>
        <w:gridCol w:w="1701"/>
        <w:gridCol w:w="1531"/>
        <w:gridCol w:w="1587"/>
        <w:gridCol w:w="1474"/>
        <w:gridCol w:w="1474"/>
        <w:gridCol w:w="1474"/>
        <w:gridCol w:w="964"/>
        <w:gridCol w:w="1417"/>
        <w:gridCol w:w="1247"/>
      </w:tblGrid>
      <w:tr>
        <w:tc>
          <w:tcPr>
            <w:tcW w:w="567" w:type="dxa"/>
            <w:vMerge w:val="restart"/>
          </w:tcPr>
          <w:p>
            <w:pPr>
              <w:pStyle w:val="0"/>
              <w:jc w:val="center"/>
            </w:pPr>
            <w:r>
              <w:rPr>
                <w:sz w:val="24"/>
              </w:rPr>
              <w:t xml:space="preserve">N п/п</w:t>
            </w:r>
          </w:p>
        </w:tc>
        <w:tc>
          <w:tcPr>
            <w:tcW w:w="2324" w:type="dxa"/>
            <w:vMerge w:val="restart"/>
          </w:tcPr>
          <w:p>
            <w:pPr>
              <w:pStyle w:val="0"/>
              <w:jc w:val="center"/>
            </w:pPr>
            <w:r>
              <w:rPr>
                <w:sz w:val="24"/>
              </w:rPr>
              <w:t xml:space="preserve">Наименование муниципального образования Ивановской области</w:t>
            </w:r>
          </w:p>
        </w:tc>
        <w:tc>
          <w:tcPr>
            <w:tcW w:w="1134" w:type="dxa"/>
            <w:vMerge w:val="restart"/>
          </w:tcPr>
          <w:p>
            <w:pPr>
              <w:pStyle w:val="0"/>
              <w:jc w:val="center"/>
            </w:pPr>
            <w:r>
              <w:rPr>
                <w:sz w:val="24"/>
              </w:rPr>
              <w:t xml:space="preserve">Число жителей, планируемых к переселению</w:t>
            </w:r>
          </w:p>
        </w:tc>
        <w:tc>
          <w:tcPr>
            <w:gridSpan w:val="3"/>
            <w:tcW w:w="2891" w:type="dxa"/>
          </w:tcPr>
          <w:p>
            <w:pPr>
              <w:pStyle w:val="0"/>
              <w:jc w:val="center"/>
            </w:pPr>
            <w:r>
              <w:rPr>
                <w:sz w:val="24"/>
              </w:rPr>
              <w:t xml:space="preserve">Количество расселяемых жилых помещений</w:t>
            </w:r>
          </w:p>
        </w:tc>
        <w:tc>
          <w:tcPr>
            <w:gridSpan w:val="3"/>
            <w:tcW w:w="3516" w:type="dxa"/>
          </w:tcPr>
          <w:p>
            <w:pPr>
              <w:pStyle w:val="0"/>
              <w:jc w:val="center"/>
            </w:pPr>
            <w:r>
              <w:rPr>
                <w:sz w:val="24"/>
              </w:rPr>
              <w:t xml:space="preserve">Расселяемая площадь жилых помещений</w:t>
            </w:r>
          </w:p>
        </w:tc>
        <w:tc>
          <w:tcPr>
            <w:gridSpan w:val="4"/>
            <w:tcW w:w="6520" w:type="dxa"/>
          </w:tcPr>
          <w:p>
            <w:pPr>
              <w:pStyle w:val="0"/>
              <w:jc w:val="center"/>
            </w:pPr>
            <w:r>
              <w:rPr>
                <w:sz w:val="24"/>
              </w:rPr>
              <w:t xml:space="preserve">Источники финансирования программы</w:t>
            </w:r>
          </w:p>
        </w:tc>
        <w:tc>
          <w:tcPr>
            <w:gridSpan w:val="3"/>
            <w:tcW w:w="4422" w:type="dxa"/>
          </w:tcPr>
          <w:p>
            <w:pPr>
              <w:pStyle w:val="0"/>
              <w:jc w:val="center"/>
            </w:pPr>
            <w:r>
              <w:rPr>
                <w:sz w:val="24"/>
              </w:rPr>
              <w:t xml:space="preserve">Справочно: Расчетная сумма экономии бюджетных средств</w:t>
            </w:r>
          </w:p>
        </w:tc>
        <w:tc>
          <w:tcPr>
            <w:gridSpan w:val="3"/>
            <w:tcW w:w="3628" w:type="dxa"/>
          </w:tcPr>
          <w:p>
            <w:pPr>
              <w:pStyle w:val="0"/>
              <w:jc w:val="center"/>
            </w:pPr>
            <w:r>
              <w:rPr>
                <w:sz w:val="24"/>
              </w:rPr>
              <w:t xml:space="preserve">Справочно: Возмещение части стоимости жилых помещений</w:t>
            </w:r>
          </w:p>
        </w:tc>
      </w:tr>
      <w:tr>
        <w:tc>
          <w:tcPr>
            <w:vMerge w:val="continue"/>
          </w:tcPr>
          <w:p/>
        </w:tc>
        <w:tc>
          <w:tcPr>
            <w:vMerge w:val="continue"/>
          </w:tcPr>
          <w:p/>
        </w:tc>
        <w:tc>
          <w:tcPr>
            <w:vMerge w:val="continue"/>
          </w:tcPr>
          <w:p/>
        </w:tc>
        <w:tc>
          <w:tcPr>
            <w:tcW w:w="737" w:type="dxa"/>
            <w:vMerge w:val="restart"/>
          </w:tcPr>
          <w:p>
            <w:pPr>
              <w:pStyle w:val="0"/>
              <w:jc w:val="center"/>
            </w:pPr>
            <w:r>
              <w:rPr>
                <w:sz w:val="24"/>
              </w:rPr>
              <w:t xml:space="preserve">всего</w:t>
            </w:r>
          </w:p>
        </w:tc>
        <w:tc>
          <w:tcPr>
            <w:gridSpan w:val="2"/>
            <w:tcW w:w="2154" w:type="dxa"/>
          </w:tcPr>
          <w:p>
            <w:pPr>
              <w:pStyle w:val="0"/>
              <w:jc w:val="center"/>
            </w:pPr>
            <w:r>
              <w:rPr>
                <w:sz w:val="24"/>
              </w:rPr>
              <w:t xml:space="preserve">в том числе</w:t>
            </w:r>
          </w:p>
        </w:tc>
        <w:tc>
          <w:tcPr>
            <w:tcW w:w="1191" w:type="dxa"/>
            <w:vMerge w:val="restart"/>
          </w:tcPr>
          <w:p>
            <w:pPr>
              <w:pStyle w:val="0"/>
              <w:jc w:val="center"/>
            </w:pPr>
            <w:r>
              <w:rPr>
                <w:sz w:val="24"/>
              </w:rPr>
              <w:t xml:space="preserve">всего</w:t>
            </w:r>
          </w:p>
        </w:tc>
        <w:tc>
          <w:tcPr>
            <w:gridSpan w:val="2"/>
            <w:tcW w:w="2325" w:type="dxa"/>
          </w:tcPr>
          <w:p>
            <w:pPr>
              <w:pStyle w:val="0"/>
              <w:jc w:val="center"/>
            </w:pPr>
            <w:r>
              <w:rPr>
                <w:sz w:val="24"/>
              </w:rPr>
              <w:t xml:space="preserve">в том числе</w:t>
            </w:r>
          </w:p>
        </w:tc>
        <w:tc>
          <w:tcPr>
            <w:tcW w:w="1701" w:type="dxa"/>
            <w:vMerge w:val="restart"/>
          </w:tcPr>
          <w:p>
            <w:pPr>
              <w:pStyle w:val="0"/>
              <w:jc w:val="center"/>
            </w:pPr>
            <w:r>
              <w:rPr>
                <w:sz w:val="24"/>
              </w:rPr>
              <w:t xml:space="preserve">всего</w:t>
            </w:r>
          </w:p>
        </w:tc>
        <w:tc>
          <w:tcPr>
            <w:gridSpan w:val="3"/>
            <w:tcW w:w="4819" w:type="dxa"/>
          </w:tcPr>
          <w:p>
            <w:pPr>
              <w:pStyle w:val="0"/>
              <w:jc w:val="center"/>
            </w:pPr>
            <w:r>
              <w:rPr>
                <w:sz w:val="24"/>
              </w:rPr>
              <w:t xml:space="preserve">в том числе</w:t>
            </w:r>
          </w:p>
        </w:tc>
        <w:tc>
          <w:tcPr>
            <w:tcW w:w="1474" w:type="dxa"/>
            <w:vMerge w:val="restart"/>
          </w:tcPr>
          <w:p>
            <w:pPr>
              <w:pStyle w:val="0"/>
              <w:jc w:val="center"/>
            </w:pPr>
            <w:r>
              <w:rPr>
                <w:sz w:val="24"/>
              </w:rPr>
              <w:t xml:space="preserve">всего</w:t>
            </w:r>
          </w:p>
        </w:tc>
        <w:tc>
          <w:tcPr>
            <w:gridSpan w:val="2"/>
            <w:tcW w:w="2948" w:type="dxa"/>
          </w:tcPr>
          <w:p>
            <w:pPr>
              <w:pStyle w:val="0"/>
              <w:jc w:val="center"/>
            </w:pPr>
            <w:r>
              <w:rPr>
                <w:sz w:val="24"/>
              </w:rPr>
              <w:t xml:space="preserve">в том числе</w:t>
            </w:r>
          </w:p>
        </w:tc>
        <w:tc>
          <w:tcPr>
            <w:tcW w:w="964" w:type="dxa"/>
            <w:vMerge w:val="restart"/>
          </w:tcPr>
          <w:p>
            <w:pPr>
              <w:pStyle w:val="0"/>
              <w:jc w:val="center"/>
            </w:pPr>
            <w:r>
              <w:rPr>
                <w:sz w:val="24"/>
              </w:rPr>
              <w:t xml:space="preserve">всего</w:t>
            </w:r>
          </w:p>
        </w:tc>
        <w:tc>
          <w:tcPr>
            <w:gridSpan w:val="2"/>
            <w:tcW w:w="2664" w:type="dxa"/>
          </w:tcPr>
          <w:p>
            <w:pPr>
              <w:pStyle w:val="0"/>
              <w:jc w:val="center"/>
            </w:pPr>
            <w:r>
              <w:rPr>
                <w:sz w:val="24"/>
              </w:rPr>
              <w:t xml:space="preserve">в том числе</w:t>
            </w:r>
          </w:p>
        </w:tc>
      </w:tr>
      <w:tr>
        <w:tc>
          <w:tcPr>
            <w:vMerge w:val="continue"/>
          </w:tcPr>
          <w:p/>
        </w:tc>
        <w:tc>
          <w:tcPr>
            <w:vMerge w:val="continue"/>
          </w:tcPr>
          <w:p/>
        </w:tc>
        <w:tc>
          <w:tcPr>
            <w:vMerge w:val="continue"/>
          </w:tcPr>
          <w:p/>
        </w:tc>
        <w:tc>
          <w:tcPr>
            <w:vMerge w:val="continue"/>
          </w:tcPr>
          <w:p/>
        </w:tc>
        <w:tc>
          <w:tcPr>
            <w:tcW w:w="1134" w:type="dxa"/>
          </w:tcPr>
          <w:p>
            <w:pPr>
              <w:pStyle w:val="0"/>
              <w:jc w:val="center"/>
            </w:pPr>
            <w:r>
              <w:rPr>
                <w:sz w:val="24"/>
              </w:rPr>
              <w:t xml:space="preserve">собственность граждан</w:t>
            </w:r>
          </w:p>
        </w:tc>
        <w:tc>
          <w:tcPr>
            <w:tcW w:w="1020" w:type="dxa"/>
          </w:tcPr>
          <w:p>
            <w:pPr>
              <w:pStyle w:val="0"/>
              <w:jc w:val="center"/>
            </w:pPr>
            <w:r>
              <w:rPr>
                <w:sz w:val="24"/>
              </w:rPr>
              <w:t xml:space="preserve">муниципальная собственность</w:t>
            </w:r>
          </w:p>
        </w:tc>
        <w:tc>
          <w:tcPr>
            <w:vMerge w:val="continue"/>
          </w:tcPr>
          <w:p/>
        </w:tc>
        <w:tc>
          <w:tcPr>
            <w:tcW w:w="1191" w:type="dxa"/>
          </w:tcPr>
          <w:p>
            <w:pPr>
              <w:pStyle w:val="0"/>
              <w:jc w:val="center"/>
            </w:pPr>
            <w:r>
              <w:rPr>
                <w:sz w:val="24"/>
              </w:rPr>
              <w:t xml:space="preserve">собственность граждан</w:t>
            </w:r>
          </w:p>
        </w:tc>
        <w:tc>
          <w:tcPr>
            <w:tcW w:w="1134" w:type="dxa"/>
          </w:tcPr>
          <w:p>
            <w:pPr>
              <w:pStyle w:val="0"/>
              <w:jc w:val="center"/>
            </w:pPr>
            <w:r>
              <w:rPr>
                <w:sz w:val="24"/>
              </w:rPr>
              <w:t xml:space="preserve">муниципальная собственность</w:t>
            </w:r>
          </w:p>
        </w:tc>
        <w:tc>
          <w:tcPr>
            <w:vMerge w:val="continue"/>
          </w:tcPr>
          <w:p/>
        </w:tc>
        <w:tc>
          <w:tcPr>
            <w:tcW w:w="1701" w:type="dxa"/>
          </w:tcPr>
          <w:p>
            <w:pPr>
              <w:pStyle w:val="0"/>
              <w:jc w:val="center"/>
            </w:pPr>
            <w:r>
              <w:rPr>
                <w:sz w:val="24"/>
              </w:rPr>
              <w:t xml:space="preserve">за счет средств Фонда</w:t>
            </w:r>
          </w:p>
        </w:tc>
        <w:tc>
          <w:tcPr>
            <w:tcW w:w="1531" w:type="dxa"/>
          </w:tcPr>
          <w:p>
            <w:pPr>
              <w:pStyle w:val="0"/>
              <w:jc w:val="center"/>
            </w:pPr>
            <w:r>
              <w:rPr>
                <w:sz w:val="24"/>
              </w:rPr>
              <w:t xml:space="preserve">за счет средств бюджета субъекта Российской Федерации</w:t>
            </w:r>
          </w:p>
        </w:tc>
        <w:tc>
          <w:tcPr>
            <w:tcW w:w="1587" w:type="dxa"/>
          </w:tcPr>
          <w:p>
            <w:pPr>
              <w:pStyle w:val="0"/>
              <w:jc w:val="center"/>
            </w:pPr>
            <w:r>
              <w:rPr>
                <w:sz w:val="24"/>
              </w:rPr>
              <w:t xml:space="preserve">за счет средств местного бюджета</w:t>
            </w:r>
          </w:p>
        </w:tc>
        <w:tc>
          <w:tcPr>
            <w:vMerge w:val="continue"/>
          </w:tcPr>
          <w:p/>
        </w:tc>
        <w:tc>
          <w:tcPr>
            <w:tcW w:w="1474" w:type="dxa"/>
          </w:tcPr>
          <w:p>
            <w:pPr>
              <w:pStyle w:val="0"/>
              <w:jc w:val="center"/>
            </w:pPr>
            <w:r>
              <w:rPr>
                <w:sz w:val="24"/>
              </w:rPr>
              <w:t xml:space="preserve">за счет переселения граждан в рамках реализации решений о КРТ</w:t>
            </w:r>
          </w:p>
        </w:tc>
        <w:tc>
          <w:tcPr>
            <w:tcW w:w="1474" w:type="dxa"/>
          </w:tcPr>
          <w:p>
            <w:pPr>
              <w:pStyle w:val="0"/>
              <w:jc w:val="center"/>
            </w:pPr>
            <w:r>
              <w:rPr>
                <w:sz w:val="24"/>
              </w:rPr>
              <w:t xml:space="preserve">за счет переселения граждан в свободный муниципальный жилищный фонд</w:t>
            </w:r>
          </w:p>
        </w:tc>
        <w:tc>
          <w:tcPr>
            <w:vMerge w:val="continue"/>
          </w:tcPr>
          <w:p/>
        </w:tc>
        <w:tc>
          <w:tcPr>
            <w:tcW w:w="1417" w:type="dxa"/>
          </w:tcPr>
          <w:p>
            <w:pPr>
              <w:pStyle w:val="0"/>
              <w:jc w:val="center"/>
            </w:pPr>
            <w:r>
              <w:rPr>
                <w:sz w:val="24"/>
              </w:rPr>
              <w:t xml:space="preserve">за счет средств собственников жилых помещений</w:t>
            </w:r>
          </w:p>
        </w:tc>
        <w:tc>
          <w:tcPr>
            <w:tcW w:w="1247" w:type="dxa"/>
          </w:tcPr>
          <w:p>
            <w:pPr>
              <w:pStyle w:val="0"/>
              <w:jc w:val="center"/>
            </w:pPr>
            <w:r>
              <w:rPr>
                <w:sz w:val="24"/>
              </w:rPr>
              <w:t xml:space="preserve">за счет средств иных лиц (инвесторов по договору КРТ)</w:t>
            </w:r>
          </w:p>
        </w:tc>
      </w:tr>
      <w:tr>
        <w:tc>
          <w:tcPr>
            <w:vMerge w:val="continue"/>
          </w:tcPr>
          <w:p/>
        </w:tc>
        <w:tc>
          <w:tcPr>
            <w:vMerge w:val="continue"/>
          </w:tcPr>
          <w:p/>
        </w:tc>
        <w:tc>
          <w:tcPr>
            <w:tcW w:w="1134" w:type="dxa"/>
          </w:tcPr>
          <w:p>
            <w:pPr>
              <w:pStyle w:val="0"/>
              <w:jc w:val="center"/>
            </w:pPr>
            <w:r>
              <w:rPr>
                <w:sz w:val="24"/>
              </w:rPr>
              <w:t xml:space="preserve">чел.</w:t>
            </w:r>
          </w:p>
        </w:tc>
        <w:tc>
          <w:tcPr>
            <w:tcW w:w="737" w:type="dxa"/>
          </w:tcPr>
          <w:p>
            <w:pPr>
              <w:pStyle w:val="0"/>
              <w:jc w:val="center"/>
            </w:pPr>
            <w:r>
              <w:rPr>
                <w:sz w:val="24"/>
              </w:rPr>
              <w:t xml:space="preserve">ед.</w:t>
            </w:r>
          </w:p>
        </w:tc>
        <w:tc>
          <w:tcPr>
            <w:tcW w:w="1134" w:type="dxa"/>
          </w:tcPr>
          <w:p>
            <w:pPr>
              <w:pStyle w:val="0"/>
              <w:jc w:val="center"/>
            </w:pPr>
            <w:r>
              <w:rPr>
                <w:sz w:val="24"/>
              </w:rPr>
              <w:t xml:space="preserve">ед.</w:t>
            </w:r>
          </w:p>
        </w:tc>
        <w:tc>
          <w:tcPr>
            <w:tcW w:w="1020" w:type="dxa"/>
          </w:tcPr>
          <w:p>
            <w:pPr>
              <w:pStyle w:val="0"/>
              <w:jc w:val="center"/>
            </w:pPr>
            <w:r>
              <w:rPr>
                <w:sz w:val="24"/>
              </w:rPr>
              <w:t xml:space="preserve">ед.</w:t>
            </w:r>
          </w:p>
        </w:tc>
        <w:tc>
          <w:tcPr>
            <w:tcW w:w="1191" w:type="dxa"/>
          </w:tcPr>
          <w:p>
            <w:pPr>
              <w:pStyle w:val="0"/>
              <w:jc w:val="center"/>
            </w:pPr>
            <w:r>
              <w:rPr>
                <w:sz w:val="24"/>
              </w:rPr>
              <w:t xml:space="preserve">кв. м</w:t>
            </w:r>
          </w:p>
        </w:tc>
        <w:tc>
          <w:tcPr>
            <w:tcW w:w="1191" w:type="dxa"/>
          </w:tcPr>
          <w:p>
            <w:pPr>
              <w:pStyle w:val="0"/>
              <w:jc w:val="center"/>
            </w:pPr>
            <w:r>
              <w:rPr>
                <w:sz w:val="24"/>
              </w:rPr>
              <w:t xml:space="preserve">кв. м</w:t>
            </w:r>
          </w:p>
        </w:tc>
        <w:tc>
          <w:tcPr>
            <w:tcW w:w="1134" w:type="dxa"/>
          </w:tcPr>
          <w:p>
            <w:pPr>
              <w:pStyle w:val="0"/>
              <w:jc w:val="center"/>
            </w:pPr>
            <w:r>
              <w:rPr>
                <w:sz w:val="24"/>
              </w:rPr>
              <w:t xml:space="preserve">кв. м</w:t>
            </w:r>
          </w:p>
        </w:tc>
        <w:tc>
          <w:tcPr>
            <w:tcW w:w="1701" w:type="dxa"/>
          </w:tcPr>
          <w:p>
            <w:pPr>
              <w:pStyle w:val="0"/>
              <w:jc w:val="center"/>
            </w:pPr>
            <w:r>
              <w:rPr>
                <w:sz w:val="24"/>
              </w:rPr>
              <w:t xml:space="preserve">руб.</w:t>
            </w:r>
          </w:p>
        </w:tc>
        <w:tc>
          <w:tcPr>
            <w:tcW w:w="1701" w:type="dxa"/>
          </w:tcPr>
          <w:p>
            <w:pPr>
              <w:pStyle w:val="0"/>
              <w:jc w:val="center"/>
            </w:pPr>
            <w:r>
              <w:rPr>
                <w:sz w:val="24"/>
              </w:rPr>
              <w:t xml:space="preserve">руб.</w:t>
            </w:r>
          </w:p>
        </w:tc>
        <w:tc>
          <w:tcPr>
            <w:tcW w:w="1531" w:type="dxa"/>
          </w:tcPr>
          <w:p>
            <w:pPr>
              <w:pStyle w:val="0"/>
              <w:jc w:val="center"/>
            </w:pPr>
            <w:r>
              <w:rPr>
                <w:sz w:val="24"/>
              </w:rPr>
              <w:t xml:space="preserve">руб.</w:t>
            </w:r>
          </w:p>
        </w:tc>
        <w:tc>
          <w:tcPr>
            <w:tcW w:w="1587" w:type="dxa"/>
          </w:tcPr>
          <w:p>
            <w:pPr>
              <w:pStyle w:val="0"/>
              <w:jc w:val="center"/>
            </w:pPr>
            <w:r>
              <w:rPr>
                <w:sz w:val="24"/>
              </w:rPr>
              <w:t xml:space="preserve">руб.</w:t>
            </w:r>
          </w:p>
        </w:tc>
        <w:tc>
          <w:tcPr>
            <w:tcW w:w="1474" w:type="dxa"/>
          </w:tcPr>
          <w:p>
            <w:pPr>
              <w:pStyle w:val="0"/>
              <w:jc w:val="center"/>
            </w:pPr>
            <w:r>
              <w:rPr>
                <w:sz w:val="24"/>
              </w:rPr>
              <w:t xml:space="preserve">руб.</w:t>
            </w:r>
          </w:p>
        </w:tc>
        <w:tc>
          <w:tcPr>
            <w:tcW w:w="1474" w:type="dxa"/>
          </w:tcPr>
          <w:p>
            <w:pPr>
              <w:pStyle w:val="0"/>
              <w:jc w:val="center"/>
            </w:pPr>
            <w:r>
              <w:rPr>
                <w:sz w:val="24"/>
              </w:rPr>
              <w:t xml:space="preserve">руб.</w:t>
            </w:r>
          </w:p>
        </w:tc>
        <w:tc>
          <w:tcPr>
            <w:tcW w:w="1474" w:type="dxa"/>
          </w:tcPr>
          <w:p>
            <w:pPr>
              <w:pStyle w:val="0"/>
              <w:jc w:val="center"/>
            </w:pPr>
            <w:r>
              <w:rPr>
                <w:sz w:val="24"/>
              </w:rPr>
              <w:t xml:space="preserve">руб.</w:t>
            </w:r>
          </w:p>
        </w:tc>
        <w:tc>
          <w:tcPr>
            <w:tcW w:w="964" w:type="dxa"/>
          </w:tcPr>
          <w:p>
            <w:pPr>
              <w:pStyle w:val="0"/>
              <w:jc w:val="center"/>
            </w:pPr>
            <w:r>
              <w:rPr>
                <w:sz w:val="24"/>
              </w:rPr>
              <w:t xml:space="preserve">руб.</w:t>
            </w:r>
          </w:p>
        </w:tc>
        <w:tc>
          <w:tcPr>
            <w:tcW w:w="1417" w:type="dxa"/>
          </w:tcPr>
          <w:p>
            <w:pPr>
              <w:pStyle w:val="0"/>
              <w:jc w:val="center"/>
            </w:pPr>
            <w:r>
              <w:rPr>
                <w:sz w:val="24"/>
              </w:rPr>
              <w:t xml:space="preserve">руб.</w:t>
            </w:r>
          </w:p>
        </w:tc>
        <w:tc>
          <w:tcPr>
            <w:tcW w:w="1247" w:type="dxa"/>
          </w:tcPr>
          <w:p>
            <w:pPr>
              <w:pStyle w:val="0"/>
              <w:jc w:val="center"/>
            </w:pPr>
            <w:r>
              <w:rPr>
                <w:sz w:val="24"/>
              </w:rPr>
              <w:t xml:space="preserve">руб.</w:t>
            </w:r>
          </w:p>
        </w:tc>
      </w:tr>
      <w:tr>
        <w:tc>
          <w:tcPr>
            <w:tcW w:w="567" w:type="dxa"/>
          </w:tcPr>
          <w:p>
            <w:pPr>
              <w:pStyle w:val="0"/>
              <w:jc w:val="center"/>
            </w:pPr>
            <w:r>
              <w:rPr>
                <w:sz w:val="24"/>
              </w:rPr>
              <w:t xml:space="preserve">1</w:t>
            </w:r>
          </w:p>
        </w:tc>
        <w:tc>
          <w:tcPr>
            <w:tcW w:w="2324" w:type="dxa"/>
          </w:tcPr>
          <w:p>
            <w:pPr>
              <w:pStyle w:val="0"/>
              <w:jc w:val="center"/>
            </w:pPr>
            <w:r>
              <w:rPr>
                <w:sz w:val="24"/>
              </w:rPr>
              <w:t xml:space="preserve">2</w:t>
            </w:r>
          </w:p>
        </w:tc>
        <w:tc>
          <w:tcPr>
            <w:tcW w:w="1134" w:type="dxa"/>
          </w:tcPr>
          <w:p>
            <w:pPr>
              <w:pStyle w:val="0"/>
              <w:jc w:val="center"/>
            </w:pPr>
            <w:r>
              <w:rPr>
                <w:sz w:val="24"/>
              </w:rPr>
              <w:t xml:space="preserve">3</w:t>
            </w:r>
          </w:p>
        </w:tc>
        <w:tc>
          <w:tcPr>
            <w:tcW w:w="737" w:type="dxa"/>
          </w:tcPr>
          <w:p>
            <w:pPr>
              <w:pStyle w:val="0"/>
              <w:jc w:val="center"/>
            </w:pPr>
            <w:r>
              <w:rPr>
                <w:sz w:val="24"/>
              </w:rPr>
              <w:t xml:space="preserve">4</w:t>
            </w:r>
          </w:p>
        </w:tc>
        <w:tc>
          <w:tcPr>
            <w:tcW w:w="1134" w:type="dxa"/>
          </w:tcPr>
          <w:p>
            <w:pPr>
              <w:pStyle w:val="0"/>
              <w:jc w:val="center"/>
            </w:pPr>
            <w:r>
              <w:rPr>
                <w:sz w:val="24"/>
              </w:rPr>
              <w:t xml:space="preserve">5</w:t>
            </w:r>
          </w:p>
        </w:tc>
        <w:tc>
          <w:tcPr>
            <w:tcW w:w="1020" w:type="dxa"/>
          </w:tcPr>
          <w:p>
            <w:pPr>
              <w:pStyle w:val="0"/>
              <w:jc w:val="center"/>
            </w:pPr>
            <w:r>
              <w:rPr>
                <w:sz w:val="24"/>
              </w:rPr>
              <w:t xml:space="preserve">6</w:t>
            </w:r>
          </w:p>
        </w:tc>
        <w:tc>
          <w:tcPr>
            <w:tcW w:w="1191" w:type="dxa"/>
          </w:tcPr>
          <w:p>
            <w:pPr>
              <w:pStyle w:val="0"/>
              <w:jc w:val="center"/>
            </w:pPr>
            <w:r>
              <w:rPr>
                <w:sz w:val="24"/>
              </w:rPr>
              <w:t xml:space="preserve">7</w:t>
            </w:r>
          </w:p>
        </w:tc>
        <w:tc>
          <w:tcPr>
            <w:tcW w:w="1191" w:type="dxa"/>
          </w:tcPr>
          <w:p>
            <w:pPr>
              <w:pStyle w:val="0"/>
              <w:jc w:val="center"/>
            </w:pPr>
            <w:r>
              <w:rPr>
                <w:sz w:val="24"/>
              </w:rPr>
              <w:t xml:space="preserve">8</w:t>
            </w:r>
          </w:p>
        </w:tc>
        <w:tc>
          <w:tcPr>
            <w:tcW w:w="1134" w:type="dxa"/>
          </w:tcPr>
          <w:p>
            <w:pPr>
              <w:pStyle w:val="0"/>
              <w:jc w:val="center"/>
            </w:pPr>
            <w:r>
              <w:rPr>
                <w:sz w:val="24"/>
              </w:rPr>
              <w:t xml:space="preserve">9</w:t>
            </w:r>
          </w:p>
        </w:tc>
        <w:tc>
          <w:tcPr>
            <w:tcW w:w="1701" w:type="dxa"/>
          </w:tcPr>
          <w:p>
            <w:pPr>
              <w:pStyle w:val="0"/>
              <w:jc w:val="center"/>
            </w:pPr>
            <w:r>
              <w:rPr>
                <w:sz w:val="24"/>
              </w:rPr>
              <w:t xml:space="preserve">10</w:t>
            </w:r>
          </w:p>
        </w:tc>
        <w:tc>
          <w:tcPr>
            <w:tcW w:w="1701" w:type="dxa"/>
          </w:tcPr>
          <w:p>
            <w:pPr>
              <w:pStyle w:val="0"/>
              <w:jc w:val="center"/>
            </w:pPr>
            <w:r>
              <w:rPr>
                <w:sz w:val="24"/>
              </w:rPr>
              <w:t xml:space="preserve">11</w:t>
            </w:r>
          </w:p>
        </w:tc>
        <w:tc>
          <w:tcPr>
            <w:tcW w:w="1531" w:type="dxa"/>
          </w:tcPr>
          <w:p>
            <w:pPr>
              <w:pStyle w:val="0"/>
              <w:jc w:val="center"/>
            </w:pPr>
            <w:r>
              <w:rPr>
                <w:sz w:val="24"/>
              </w:rPr>
              <w:t xml:space="preserve">12</w:t>
            </w:r>
          </w:p>
        </w:tc>
        <w:tc>
          <w:tcPr>
            <w:tcW w:w="1587" w:type="dxa"/>
          </w:tcPr>
          <w:p>
            <w:pPr>
              <w:pStyle w:val="0"/>
              <w:jc w:val="center"/>
            </w:pPr>
            <w:r>
              <w:rPr>
                <w:sz w:val="24"/>
              </w:rPr>
              <w:t xml:space="preserve">13</w:t>
            </w:r>
          </w:p>
        </w:tc>
        <w:tc>
          <w:tcPr>
            <w:tcW w:w="1474" w:type="dxa"/>
          </w:tcPr>
          <w:p>
            <w:pPr>
              <w:pStyle w:val="0"/>
              <w:jc w:val="center"/>
            </w:pPr>
            <w:r>
              <w:rPr>
                <w:sz w:val="24"/>
              </w:rPr>
              <w:t xml:space="preserve">14</w:t>
            </w:r>
          </w:p>
        </w:tc>
        <w:tc>
          <w:tcPr>
            <w:tcW w:w="1474" w:type="dxa"/>
          </w:tcPr>
          <w:p>
            <w:pPr>
              <w:pStyle w:val="0"/>
              <w:jc w:val="center"/>
            </w:pPr>
            <w:r>
              <w:rPr>
                <w:sz w:val="24"/>
              </w:rPr>
              <w:t xml:space="preserve">15</w:t>
            </w:r>
          </w:p>
        </w:tc>
        <w:tc>
          <w:tcPr>
            <w:tcW w:w="1474" w:type="dxa"/>
          </w:tcPr>
          <w:p>
            <w:pPr>
              <w:pStyle w:val="0"/>
              <w:jc w:val="center"/>
            </w:pPr>
            <w:r>
              <w:rPr>
                <w:sz w:val="24"/>
              </w:rPr>
              <w:t xml:space="preserve">16</w:t>
            </w:r>
          </w:p>
        </w:tc>
        <w:tc>
          <w:tcPr>
            <w:tcW w:w="964" w:type="dxa"/>
          </w:tcPr>
          <w:p>
            <w:pPr>
              <w:pStyle w:val="0"/>
              <w:jc w:val="center"/>
            </w:pPr>
            <w:r>
              <w:rPr>
                <w:sz w:val="24"/>
              </w:rPr>
              <w:t xml:space="preserve">17</w:t>
            </w:r>
          </w:p>
        </w:tc>
        <w:tc>
          <w:tcPr>
            <w:tcW w:w="1417" w:type="dxa"/>
          </w:tcPr>
          <w:p>
            <w:pPr>
              <w:pStyle w:val="0"/>
              <w:jc w:val="center"/>
            </w:pPr>
            <w:r>
              <w:rPr>
                <w:sz w:val="24"/>
              </w:rPr>
              <w:t xml:space="preserve">18</w:t>
            </w:r>
          </w:p>
        </w:tc>
        <w:tc>
          <w:tcPr>
            <w:tcW w:w="1247" w:type="dxa"/>
          </w:tcPr>
          <w:p>
            <w:pPr>
              <w:pStyle w:val="0"/>
              <w:jc w:val="center"/>
            </w:pPr>
            <w:r>
              <w:rPr>
                <w:sz w:val="24"/>
              </w:rPr>
              <w:t xml:space="preserve">19</w:t>
            </w:r>
          </w:p>
        </w:tc>
      </w:tr>
      <w:tr>
        <w:tc>
          <w:tcPr>
            <w:gridSpan w:val="2"/>
            <w:tcW w:w="2891" w:type="dxa"/>
          </w:tcPr>
          <w:p>
            <w:pPr>
              <w:pStyle w:val="0"/>
              <w:jc w:val="both"/>
            </w:pPr>
            <w:r>
              <w:rPr>
                <w:sz w:val="24"/>
              </w:rPr>
              <w:t xml:space="preserve">Всего по программе переселения, в рамках которой предусмотрено финансирование за счет средств Фонда, в т.ч.:</w:t>
            </w:r>
          </w:p>
        </w:tc>
        <w:tc>
          <w:tcPr>
            <w:tcW w:w="1134" w:type="dxa"/>
          </w:tcPr>
          <w:p>
            <w:pPr>
              <w:pStyle w:val="0"/>
              <w:jc w:val="center"/>
            </w:pPr>
            <w:r>
              <w:rPr>
                <w:sz w:val="24"/>
              </w:rPr>
              <w:t xml:space="preserve">583</w:t>
            </w:r>
          </w:p>
        </w:tc>
        <w:tc>
          <w:tcPr>
            <w:tcW w:w="737" w:type="dxa"/>
          </w:tcPr>
          <w:p>
            <w:pPr>
              <w:pStyle w:val="0"/>
              <w:jc w:val="center"/>
            </w:pPr>
            <w:r>
              <w:rPr>
                <w:sz w:val="24"/>
              </w:rPr>
              <w:t xml:space="preserve">247</w:t>
            </w:r>
          </w:p>
        </w:tc>
        <w:tc>
          <w:tcPr>
            <w:tcW w:w="1134" w:type="dxa"/>
          </w:tcPr>
          <w:p>
            <w:pPr>
              <w:pStyle w:val="0"/>
              <w:jc w:val="center"/>
            </w:pPr>
            <w:r>
              <w:rPr>
                <w:sz w:val="24"/>
              </w:rPr>
              <w:t xml:space="preserve">170</w:t>
            </w:r>
          </w:p>
        </w:tc>
        <w:tc>
          <w:tcPr>
            <w:tcW w:w="1020" w:type="dxa"/>
          </w:tcPr>
          <w:p>
            <w:pPr>
              <w:pStyle w:val="0"/>
              <w:jc w:val="center"/>
            </w:pPr>
            <w:r>
              <w:rPr>
                <w:sz w:val="24"/>
              </w:rPr>
              <w:t xml:space="preserve">77</w:t>
            </w:r>
          </w:p>
        </w:tc>
        <w:tc>
          <w:tcPr>
            <w:tcW w:w="1191" w:type="dxa"/>
          </w:tcPr>
          <w:p>
            <w:pPr>
              <w:pStyle w:val="0"/>
              <w:jc w:val="center"/>
            </w:pPr>
            <w:r>
              <w:rPr>
                <w:sz w:val="24"/>
              </w:rPr>
              <w:t xml:space="preserve">9836,76</w:t>
            </w:r>
          </w:p>
        </w:tc>
        <w:tc>
          <w:tcPr>
            <w:tcW w:w="1191" w:type="dxa"/>
          </w:tcPr>
          <w:p>
            <w:pPr>
              <w:pStyle w:val="0"/>
              <w:jc w:val="center"/>
            </w:pPr>
            <w:r>
              <w:rPr>
                <w:sz w:val="24"/>
              </w:rPr>
              <w:t xml:space="preserve">6581,10</w:t>
            </w:r>
          </w:p>
        </w:tc>
        <w:tc>
          <w:tcPr>
            <w:tcW w:w="1134" w:type="dxa"/>
          </w:tcPr>
          <w:p>
            <w:pPr>
              <w:pStyle w:val="0"/>
              <w:jc w:val="center"/>
            </w:pPr>
            <w:r>
              <w:rPr>
                <w:sz w:val="24"/>
              </w:rPr>
              <w:t xml:space="preserve">3255,66</w:t>
            </w:r>
          </w:p>
        </w:tc>
        <w:tc>
          <w:tcPr>
            <w:tcW w:w="1701" w:type="dxa"/>
          </w:tcPr>
          <w:p>
            <w:pPr>
              <w:pStyle w:val="0"/>
              <w:jc w:val="center"/>
            </w:pPr>
            <w:r>
              <w:rPr>
                <w:sz w:val="24"/>
              </w:rPr>
              <w:t xml:space="preserve">692686971,40</w:t>
            </w:r>
          </w:p>
        </w:tc>
        <w:tc>
          <w:tcPr>
            <w:tcW w:w="1701" w:type="dxa"/>
          </w:tcPr>
          <w:p>
            <w:pPr>
              <w:pStyle w:val="0"/>
              <w:jc w:val="center"/>
            </w:pPr>
            <w:r>
              <w:rPr>
                <w:sz w:val="24"/>
              </w:rPr>
              <w:t xml:space="preserve">355864018,28</w:t>
            </w:r>
          </w:p>
        </w:tc>
        <w:tc>
          <w:tcPr>
            <w:tcW w:w="1531" w:type="dxa"/>
          </w:tcPr>
          <w:p>
            <w:pPr>
              <w:pStyle w:val="0"/>
              <w:jc w:val="center"/>
            </w:pPr>
            <w:r>
              <w:rPr>
                <w:sz w:val="24"/>
              </w:rPr>
              <w:t xml:space="preserve">217988527,89</w:t>
            </w:r>
          </w:p>
        </w:tc>
        <w:tc>
          <w:tcPr>
            <w:tcW w:w="1587" w:type="dxa"/>
          </w:tcPr>
          <w:p>
            <w:pPr>
              <w:pStyle w:val="0"/>
              <w:jc w:val="center"/>
            </w:pPr>
            <w:r>
              <w:rPr>
                <w:sz w:val="24"/>
              </w:rPr>
              <w:t xml:space="preserve">118834425,23</w:t>
            </w:r>
          </w:p>
        </w:tc>
        <w:tc>
          <w:tcPr>
            <w:tcW w:w="1474" w:type="dxa"/>
          </w:tcPr>
          <w:p>
            <w:pPr>
              <w:pStyle w:val="0"/>
              <w:jc w:val="center"/>
            </w:pPr>
            <w:r>
              <w:rPr>
                <w:sz w:val="24"/>
              </w:rPr>
              <w:t xml:space="preserve">6013513,90</w:t>
            </w:r>
          </w:p>
        </w:tc>
        <w:tc>
          <w:tcPr>
            <w:tcW w:w="1474" w:type="dxa"/>
          </w:tcPr>
          <w:p>
            <w:pPr>
              <w:pStyle w:val="0"/>
              <w:jc w:val="center"/>
            </w:pPr>
            <w:r>
              <w:rPr>
                <w:sz w:val="24"/>
              </w:rPr>
              <w:t xml:space="preserve">0,00</w:t>
            </w:r>
          </w:p>
        </w:tc>
        <w:tc>
          <w:tcPr>
            <w:tcW w:w="1474" w:type="dxa"/>
          </w:tcPr>
          <w:p>
            <w:pPr>
              <w:pStyle w:val="0"/>
              <w:jc w:val="center"/>
            </w:pPr>
            <w:r>
              <w:rPr>
                <w:sz w:val="24"/>
              </w:rPr>
              <w:t xml:space="preserve">6013513,90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gridSpan w:val="2"/>
            <w:tcW w:w="2891" w:type="dxa"/>
          </w:tcPr>
          <w:p>
            <w:pPr>
              <w:pStyle w:val="0"/>
              <w:jc w:val="both"/>
            </w:pPr>
            <w:r>
              <w:rPr>
                <w:sz w:val="24"/>
              </w:rPr>
              <w:t xml:space="preserve">Всего по этапу 2024 года</w:t>
            </w:r>
          </w:p>
        </w:tc>
        <w:tc>
          <w:tcPr>
            <w:tcW w:w="1134" w:type="dxa"/>
          </w:tcPr>
          <w:p>
            <w:pPr>
              <w:pStyle w:val="0"/>
              <w:jc w:val="center"/>
            </w:pPr>
            <w:r>
              <w:rPr>
                <w:sz w:val="24"/>
              </w:rPr>
              <w:t xml:space="preserve">59</w:t>
            </w:r>
          </w:p>
        </w:tc>
        <w:tc>
          <w:tcPr>
            <w:tcW w:w="737" w:type="dxa"/>
          </w:tcPr>
          <w:p>
            <w:pPr>
              <w:pStyle w:val="0"/>
              <w:jc w:val="center"/>
            </w:pPr>
            <w:r>
              <w:rPr>
                <w:sz w:val="24"/>
              </w:rPr>
              <w:t xml:space="preserve">23</w:t>
            </w:r>
          </w:p>
        </w:tc>
        <w:tc>
          <w:tcPr>
            <w:tcW w:w="1134" w:type="dxa"/>
          </w:tcPr>
          <w:p>
            <w:pPr>
              <w:pStyle w:val="0"/>
              <w:jc w:val="center"/>
            </w:pPr>
            <w:r>
              <w:rPr>
                <w:sz w:val="24"/>
              </w:rPr>
              <w:t xml:space="preserve">12</w:t>
            </w:r>
          </w:p>
        </w:tc>
        <w:tc>
          <w:tcPr>
            <w:tcW w:w="1020" w:type="dxa"/>
          </w:tcPr>
          <w:p>
            <w:pPr>
              <w:pStyle w:val="0"/>
              <w:jc w:val="center"/>
            </w:pPr>
            <w:r>
              <w:rPr>
                <w:sz w:val="24"/>
              </w:rPr>
              <w:t xml:space="preserve">11</w:t>
            </w:r>
          </w:p>
        </w:tc>
        <w:tc>
          <w:tcPr>
            <w:tcW w:w="1191" w:type="dxa"/>
          </w:tcPr>
          <w:p>
            <w:pPr>
              <w:pStyle w:val="0"/>
              <w:jc w:val="center"/>
            </w:pPr>
            <w:r>
              <w:rPr>
                <w:sz w:val="24"/>
              </w:rPr>
              <w:t xml:space="preserve">1008,30</w:t>
            </w:r>
          </w:p>
        </w:tc>
        <w:tc>
          <w:tcPr>
            <w:tcW w:w="1191" w:type="dxa"/>
          </w:tcPr>
          <w:p>
            <w:pPr>
              <w:pStyle w:val="0"/>
              <w:jc w:val="center"/>
            </w:pPr>
            <w:r>
              <w:rPr>
                <w:sz w:val="24"/>
              </w:rPr>
              <w:t xml:space="preserve">564,60</w:t>
            </w:r>
          </w:p>
        </w:tc>
        <w:tc>
          <w:tcPr>
            <w:tcW w:w="1134" w:type="dxa"/>
          </w:tcPr>
          <w:p>
            <w:pPr>
              <w:pStyle w:val="0"/>
              <w:jc w:val="center"/>
            </w:pPr>
            <w:r>
              <w:rPr>
                <w:sz w:val="24"/>
              </w:rPr>
              <w:t xml:space="preserve">443,70</w:t>
            </w:r>
          </w:p>
        </w:tc>
        <w:tc>
          <w:tcPr>
            <w:tcW w:w="1701" w:type="dxa"/>
          </w:tcPr>
          <w:p>
            <w:pPr>
              <w:pStyle w:val="0"/>
              <w:jc w:val="center"/>
            </w:pPr>
            <w:r>
              <w:rPr>
                <w:sz w:val="24"/>
              </w:rPr>
              <w:t xml:space="preserve">56509977,20</w:t>
            </w:r>
          </w:p>
        </w:tc>
        <w:tc>
          <w:tcPr>
            <w:tcW w:w="1701" w:type="dxa"/>
          </w:tcPr>
          <w:p>
            <w:pPr>
              <w:pStyle w:val="0"/>
              <w:jc w:val="center"/>
            </w:pPr>
            <w:r>
              <w:rPr>
                <w:sz w:val="24"/>
              </w:rPr>
              <w:t xml:space="preserve">53623170,40</w:t>
            </w:r>
          </w:p>
        </w:tc>
        <w:tc>
          <w:tcPr>
            <w:tcW w:w="1531" w:type="dxa"/>
          </w:tcPr>
          <w:p>
            <w:pPr>
              <w:pStyle w:val="0"/>
              <w:jc w:val="center"/>
            </w:pPr>
            <w:r>
              <w:rPr>
                <w:sz w:val="24"/>
              </w:rPr>
              <w:t xml:space="preserve">541648,21</w:t>
            </w:r>
          </w:p>
        </w:tc>
        <w:tc>
          <w:tcPr>
            <w:tcW w:w="1587" w:type="dxa"/>
          </w:tcPr>
          <w:p>
            <w:pPr>
              <w:pStyle w:val="0"/>
              <w:jc w:val="center"/>
            </w:pPr>
            <w:r>
              <w:rPr>
                <w:sz w:val="24"/>
              </w:rPr>
              <w:t xml:space="preserve">2345158,59</w:t>
            </w:r>
          </w:p>
        </w:tc>
        <w:tc>
          <w:tcPr>
            <w:tcW w:w="1474" w:type="dxa"/>
          </w:tcPr>
          <w:p>
            <w:pPr>
              <w:pStyle w:val="0"/>
              <w:jc w:val="center"/>
            </w:pPr>
            <w:r>
              <w:rPr>
                <w:sz w:val="24"/>
              </w:rPr>
              <w:t xml:space="preserve">3973867,50</w:t>
            </w:r>
          </w:p>
        </w:tc>
        <w:tc>
          <w:tcPr>
            <w:tcW w:w="1474" w:type="dxa"/>
          </w:tcPr>
          <w:p>
            <w:pPr>
              <w:pStyle w:val="0"/>
              <w:jc w:val="center"/>
            </w:pPr>
            <w:r>
              <w:rPr>
                <w:sz w:val="24"/>
              </w:rPr>
              <w:t xml:space="preserve">0,00</w:t>
            </w:r>
          </w:p>
        </w:tc>
        <w:tc>
          <w:tcPr>
            <w:tcW w:w="1474" w:type="dxa"/>
          </w:tcPr>
          <w:p>
            <w:pPr>
              <w:pStyle w:val="0"/>
              <w:jc w:val="center"/>
            </w:pPr>
            <w:r>
              <w:rPr>
                <w:sz w:val="24"/>
              </w:rPr>
              <w:t xml:space="preserve">3973867,50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tcW w:w="567" w:type="dxa"/>
          </w:tcPr>
          <w:p>
            <w:pPr>
              <w:pStyle w:val="0"/>
              <w:jc w:val="both"/>
            </w:pPr>
            <w:r>
              <w:rPr>
                <w:sz w:val="24"/>
              </w:rPr>
              <w:t xml:space="preserve">1</w:t>
            </w:r>
          </w:p>
        </w:tc>
        <w:tc>
          <w:tcPr>
            <w:tcW w:w="2324" w:type="dxa"/>
          </w:tcPr>
          <w:p>
            <w:pPr>
              <w:pStyle w:val="0"/>
              <w:jc w:val="both"/>
            </w:pPr>
            <w:r>
              <w:rPr>
                <w:sz w:val="24"/>
              </w:rPr>
              <w:t xml:space="preserve">Итого по городскому округу Иваново</w:t>
            </w:r>
          </w:p>
        </w:tc>
        <w:tc>
          <w:tcPr>
            <w:tcW w:w="1134" w:type="dxa"/>
          </w:tcPr>
          <w:p>
            <w:pPr>
              <w:pStyle w:val="0"/>
              <w:jc w:val="center"/>
            </w:pPr>
            <w:r>
              <w:rPr>
                <w:sz w:val="24"/>
              </w:rPr>
              <w:t xml:space="preserve">25</w:t>
            </w:r>
          </w:p>
        </w:tc>
        <w:tc>
          <w:tcPr>
            <w:tcW w:w="737" w:type="dxa"/>
          </w:tcPr>
          <w:p>
            <w:pPr>
              <w:pStyle w:val="0"/>
              <w:jc w:val="center"/>
            </w:pPr>
            <w:r>
              <w:rPr>
                <w:sz w:val="24"/>
              </w:rPr>
              <w:t xml:space="preserve">10</w:t>
            </w:r>
          </w:p>
        </w:tc>
        <w:tc>
          <w:tcPr>
            <w:tcW w:w="1134" w:type="dxa"/>
          </w:tcPr>
          <w:p>
            <w:pPr>
              <w:pStyle w:val="0"/>
              <w:jc w:val="center"/>
            </w:pPr>
            <w:r>
              <w:rPr>
                <w:sz w:val="24"/>
              </w:rPr>
              <w:t xml:space="preserve">7</w:t>
            </w:r>
          </w:p>
        </w:tc>
        <w:tc>
          <w:tcPr>
            <w:tcW w:w="1020" w:type="dxa"/>
          </w:tcPr>
          <w:p>
            <w:pPr>
              <w:pStyle w:val="0"/>
              <w:jc w:val="center"/>
            </w:pPr>
            <w:r>
              <w:rPr>
                <w:sz w:val="24"/>
              </w:rPr>
              <w:t xml:space="preserve">3</w:t>
            </w:r>
          </w:p>
        </w:tc>
        <w:tc>
          <w:tcPr>
            <w:tcW w:w="1191" w:type="dxa"/>
          </w:tcPr>
          <w:p>
            <w:pPr>
              <w:pStyle w:val="0"/>
              <w:jc w:val="center"/>
            </w:pPr>
            <w:r>
              <w:rPr>
                <w:sz w:val="24"/>
              </w:rPr>
              <w:t xml:space="preserve">475,70</w:t>
            </w:r>
          </w:p>
        </w:tc>
        <w:tc>
          <w:tcPr>
            <w:tcW w:w="1191" w:type="dxa"/>
          </w:tcPr>
          <w:p>
            <w:pPr>
              <w:pStyle w:val="0"/>
              <w:jc w:val="center"/>
            </w:pPr>
            <w:r>
              <w:rPr>
                <w:sz w:val="24"/>
              </w:rPr>
              <w:t xml:space="preserve">346,00</w:t>
            </w:r>
          </w:p>
        </w:tc>
        <w:tc>
          <w:tcPr>
            <w:tcW w:w="1134" w:type="dxa"/>
          </w:tcPr>
          <w:p>
            <w:pPr>
              <w:pStyle w:val="0"/>
              <w:jc w:val="center"/>
            </w:pPr>
            <w:r>
              <w:rPr>
                <w:sz w:val="24"/>
              </w:rPr>
              <w:t xml:space="preserve">129,70</w:t>
            </w:r>
          </w:p>
        </w:tc>
        <w:tc>
          <w:tcPr>
            <w:tcW w:w="1701" w:type="dxa"/>
          </w:tcPr>
          <w:p>
            <w:pPr>
              <w:pStyle w:val="0"/>
              <w:jc w:val="center"/>
            </w:pPr>
            <w:r>
              <w:rPr>
                <w:sz w:val="24"/>
              </w:rPr>
              <w:t xml:space="preserve">27635490,39</w:t>
            </w:r>
          </w:p>
        </w:tc>
        <w:tc>
          <w:tcPr>
            <w:tcW w:w="1701" w:type="dxa"/>
          </w:tcPr>
          <w:p>
            <w:pPr>
              <w:pStyle w:val="0"/>
              <w:jc w:val="center"/>
            </w:pPr>
            <w:r>
              <w:rPr>
                <w:sz w:val="24"/>
              </w:rPr>
              <w:t xml:space="preserve">25370778,43</w:t>
            </w:r>
          </w:p>
        </w:tc>
        <w:tc>
          <w:tcPr>
            <w:tcW w:w="1531" w:type="dxa"/>
          </w:tcPr>
          <w:p>
            <w:pPr>
              <w:pStyle w:val="0"/>
              <w:jc w:val="center"/>
            </w:pPr>
            <w:r>
              <w:rPr>
                <w:sz w:val="24"/>
              </w:rPr>
              <w:t xml:space="preserve">256270,49</w:t>
            </w:r>
          </w:p>
        </w:tc>
        <w:tc>
          <w:tcPr>
            <w:tcW w:w="1587" w:type="dxa"/>
          </w:tcPr>
          <w:p>
            <w:pPr>
              <w:pStyle w:val="0"/>
              <w:jc w:val="center"/>
            </w:pPr>
            <w:r>
              <w:rPr>
                <w:sz w:val="24"/>
              </w:rPr>
              <w:t xml:space="preserve">2008441,47</w:t>
            </w:r>
          </w:p>
        </w:tc>
        <w:tc>
          <w:tcPr>
            <w:tcW w:w="1474" w:type="dxa"/>
          </w:tcPr>
          <w:p>
            <w:pPr>
              <w:pStyle w:val="0"/>
              <w:jc w:val="center"/>
            </w:pPr>
            <w:r>
              <w:rPr>
                <w:sz w:val="24"/>
              </w:rPr>
              <w:t xml:space="preserve">3973867,50</w:t>
            </w:r>
          </w:p>
        </w:tc>
        <w:tc>
          <w:tcPr>
            <w:tcW w:w="1474" w:type="dxa"/>
          </w:tcPr>
          <w:p>
            <w:pPr>
              <w:pStyle w:val="0"/>
              <w:jc w:val="center"/>
            </w:pPr>
            <w:r>
              <w:rPr>
                <w:sz w:val="24"/>
              </w:rPr>
              <w:t xml:space="preserve">0,00</w:t>
            </w:r>
          </w:p>
        </w:tc>
        <w:tc>
          <w:tcPr>
            <w:tcW w:w="1474" w:type="dxa"/>
          </w:tcPr>
          <w:p>
            <w:pPr>
              <w:pStyle w:val="0"/>
              <w:jc w:val="center"/>
            </w:pPr>
            <w:r>
              <w:rPr>
                <w:sz w:val="24"/>
              </w:rPr>
              <w:t xml:space="preserve">3973867,50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tcW w:w="567" w:type="dxa"/>
          </w:tcPr>
          <w:p>
            <w:pPr>
              <w:pStyle w:val="0"/>
              <w:jc w:val="both"/>
            </w:pPr>
            <w:r>
              <w:rPr>
                <w:sz w:val="24"/>
              </w:rPr>
              <w:t xml:space="preserve">2</w:t>
            </w:r>
          </w:p>
        </w:tc>
        <w:tc>
          <w:tcPr>
            <w:tcW w:w="2324" w:type="dxa"/>
          </w:tcPr>
          <w:p>
            <w:pPr>
              <w:pStyle w:val="0"/>
              <w:jc w:val="both"/>
            </w:pPr>
            <w:r>
              <w:rPr>
                <w:sz w:val="24"/>
              </w:rPr>
              <w:t xml:space="preserve">Итого по городскому округу Кинешма</w:t>
            </w:r>
          </w:p>
        </w:tc>
        <w:tc>
          <w:tcPr>
            <w:tcW w:w="1134" w:type="dxa"/>
          </w:tcPr>
          <w:p>
            <w:pPr>
              <w:pStyle w:val="0"/>
              <w:jc w:val="center"/>
            </w:pPr>
            <w:r>
              <w:rPr>
                <w:sz w:val="24"/>
              </w:rPr>
              <w:t xml:space="preserve">34</w:t>
            </w:r>
          </w:p>
        </w:tc>
        <w:tc>
          <w:tcPr>
            <w:tcW w:w="737" w:type="dxa"/>
          </w:tcPr>
          <w:p>
            <w:pPr>
              <w:pStyle w:val="0"/>
              <w:jc w:val="center"/>
            </w:pPr>
            <w:r>
              <w:rPr>
                <w:sz w:val="24"/>
              </w:rPr>
              <w:t xml:space="preserve">13</w:t>
            </w:r>
          </w:p>
        </w:tc>
        <w:tc>
          <w:tcPr>
            <w:tcW w:w="1134" w:type="dxa"/>
          </w:tcPr>
          <w:p>
            <w:pPr>
              <w:pStyle w:val="0"/>
              <w:jc w:val="center"/>
            </w:pPr>
            <w:r>
              <w:rPr>
                <w:sz w:val="24"/>
              </w:rPr>
              <w:t xml:space="preserve">5</w:t>
            </w:r>
          </w:p>
        </w:tc>
        <w:tc>
          <w:tcPr>
            <w:tcW w:w="1020" w:type="dxa"/>
          </w:tcPr>
          <w:p>
            <w:pPr>
              <w:pStyle w:val="0"/>
              <w:jc w:val="center"/>
            </w:pPr>
            <w:r>
              <w:rPr>
                <w:sz w:val="24"/>
              </w:rPr>
              <w:t xml:space="preserve">8</w:t>
            </w:r>
          </w:p>
        </w:tc>
        <w:tc>
          <w:tcPr>
            <w:tcW w:w="1191" w:type="dxa"/>
          </w:tcPr>
          <w:p>
            <w:pPr>
              <w:pStyle w:val="0"/>
              <w:jc w:val="center"/>
            </w:pPr>
            <w:r>
              <w:rPr>
                <w:sz w:val="24"/>
              </w:rPr>
              <w:t xml:space="preserve">532,60</w:t>
            </w:r>
          </w:p>
        </w:tc>
        <w:tc>
          <w:tcPr>
            <w:tcW w:w="1191" w:type="dxa"/>
          </w:tcPr>
          <w:p>
            <w:pPr>
              <w:pStyle w:val="0"/>
              <w:jc w:val="center"/>
            </w:pPr>
            <w:r>
              <w:rPr>
                <w:sz w:val="24"/>
              </w:rPr>
              <w:t xml:space="preserve">218,60</w:t>
            </w:r>
          </w:p>
        </w:tc>
        <w:tc>
          <w:tcPr>
            <w:tcW w:w="1134" w:type="dxa"/>
          </w:tcPr>
          <w:p>
            <w:pPr>
              <w:pStyle w:val="0"/>
              <w:jc w:val="center"/>
            </w:pPr>
            <w:r>
              <w:rPr>
                <w:sz w:val="24"/>
              </w:rPr>
              <w:t xml:space="preserve">314,00</w:t>
            </w:r>
          </w:p>
        </w:tc>
        <w:tc>
          <w:tcPr>
            <w:tcW w:w="1701" w:type="dxa"/>
          </w:tcPr>
          <w:p>
            <w:pPr>
              <w:pStyle w:val="0"/>
              <w:jc w:val="center"/>
            </w:pPr>
            <w:r>
              <w:rPr>
                <w:sz w:val="24"/>
              </w:rPr>
              <w:t xml:space="preserve">28874486,81</w:t>
            </w:r>
          </w:p>
        </w:tc>
        <w:tc>
          <w:tcPr>
            <w:tcW w:w="1701" w:type="dxa"/>
          </w:tcPr>
          <w:p>
            <w:pPr>
              <w:pStyle w:val="0"/>
              <w:jc w:val="center"/>
            </w:pPr>
            <w:r>
              <w:rPr>
                <w:sz w:val="24"/>
              </w:rPr>
              <w:t xml:space="preserve">28252391,97</w:t>
            </w:r>
          </w:p>
        </w:tc>
        <w:tc>
          <w:tcPr>
            <w:tcW w:w="1531" w:type="dxa"/>
          </w:tcPr>
          <w:p>
            <w:pPr>
              <w:pStyle w:val="0"/>
              <w:jc w:val="center"/>
            </w:pPr>
            <w:r>
              <w:rPr>
                <w:sz w:val="24"/>
              </w:rPr>
              <w:t xml:space="preserve">285377,72</w:t>
            </w:r>
          </w:p>
        </w:tc>
        <w:tc>
          <w:tcPr>
            <w:tcW w:w="1587" w:type="dxa"/>
          </w:tcPr>
          <w:p>
            <w:pPr>
              <w:pStyle w:val="0"/>
              <w:jc w:val="center"/>
            </w:pPr>
            <w:r>
              <w:rPr>
                <w:sz w:val="24"/>
              </w:rPr>
              <w:t xml:space="preserve">336717,12</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gridSpan w:val="2"/>
            <w:tcW w:w="2891" w:type="dxa"/>
          </w:tcPr>
          <w:p>
            <w:pPr>
              <w:pStyle w:val="0"/>
              <w:jc w:val="both"/>
            </w:pPr>
            <w:r>
              <w:rPr>
                <w:sz w:val="24"/>
              </w:rPr>
              <w:t xml:space="preserve">Всего по этапу 2025 года</w:t>
            </w:r>
          </w:p>
        </w:tc>
        <w:tc>
          <w:tcPr>
            <w:tcW w:w="1134" w:type="dxa"/>
          </w:tcPr>
          <w:p>
            <w:pPr>
              <w:pStyle w:val="0"/>
              <w:jc w:val="center"/>
            </w:pPr>
            <w:r>
              <w:rPr>
                <w:sz w:val="24"/>
              </w:rPr>
              <w:t xml:space="preserve">252</w:t>
            </w:r>
          </w:p>
        </w:tc>
        <w:tc>
          <w:tcPr>
            <w:tcW w:w="737" w:type="dxa"/>
          </w:tcPr>
          <w:p>
            <w:pPr>
              <w:pStyle w:val="0"/>
              <w:jc w:val="center"/>
            </w:pPr>
            <w:r>
              <w:rPr>
                <w:sz w:val="24"/>
              </w:rPr>
              <w:t xml:space="preserve">105</w:t>
            </w:r>
          </w:p>
        </w:tc>
        <w:tc>
          <w:tcPr>
            <w:tcW w:w="1134" w:type="dxa"/>
          </w:tcPr>
          <w:p>
            <w:pPr>
              <w:pStyle w:val="0"/>
              <w:jc w:val="center"/>
            </w:pPr>
            <w:r>
              <w:rPr>
                <w:sz w:val="24"/>
              </w:rPr>
              <w:t xml:space="preserve">88</w:t>
            </w:r>
          </w:p>
        </w:tc>
        <w:tc>
          <w:tcPr>
            <w:tcW w:w="1020" w:type="dxa"/>
          </w:tcPr>
          <w:p>
            <w:pPr>
              <w:pStyle w:val="0"/>
              <w:jc w:val="center"/>
            </w:pPr>
            <w:r>
              <w:rPr>
                <w:sz w:val="24"/>
              </w:rPr>
              <w:t xml:space="preserve">17</w:t>
            </w:r>
          </w:p>
        </w:tc>
        <w:tc>
          <w:tcPr>
            <w:tcW w:w="1191" w:type="dxa"/>
          </w:tcPr>
          <w:p>
            <w:pPr>
              <w:pStyle w:val="0"/>
              <w:jc w:val="center"/>
            </w:pPr>
            <w:r>
              <w:rPr>
                <w:sz w:val="24"/>
              </w:rPr>
              <w:t xml:space="preserve">4075,80</w:t>
            </w:r>
          </w:p>
        </w:tc>
        <w:tc>
          <w:tcPr>
            <w:tcW w:w="1191" w:type="dxa"/>
          </w:tcPr>
          <w:p>
            <w:pPr>
              <w:pStyle w:val="0"/>
              <w:jc w:val="center"/>
            </w:pPr>
            <w:r>
              <w:rPr>
                <w:sz w:val="24"/>
              </w:rPr>
              <w:t xml:space="preserve">3308,40</w:t>
            </w:r>
          </w:p>
        </w:tc>
        <w:tc>
          <w:tcPr>
            <w:tcW w:w="1134" w:type="dxa"/>
          </w:tcPr>
          <w:p>
            <w:pPr>
              <w:pStyle w:val="0"/>
              <w:jc w:val="center"/>
            </w:pPr>
            <w:r>
              <w:rPr>
                <w:sz w:val="24"/>
              </w:rPr>
              <w:t xml:space="preserve">767,40</w:t>
            </w:r>
          </w:p>
        </w:tc>
        <w:tc>
          <w:tcPr>
            <w:tcW w:w="1701" w:type="dxa"/>
          </w:tcPr>
          <w:p>
            <w:pPr>
              <w:pStyle w:val="0"/>
              <w:jc w:val="center"/>
            </w:pPr>
            <w:r>
              <w:rPr>
                <w:sz w:val="24"/>
              </w:rPr>
              <w:t xml:space="preserve">276075781,62</w:t>
            </w:r>
          </w:p>
        </w:tc>
        <w:tc>
          <w:tcPr>
            <w:tcW w:w="1701" w:type="dxa"/>
          </w:tcPr>
          <w:p>
            <w:pPr>
              <w:pStyle w:val="0"/>
              <w:jc w:val="center"/>
            </w:pPr>
            <w:r>
              <w:rPr>
                <w:sz w:val="24"/>
              </w:rPr>
              <w:t xml:space="preserve">132548395,32</w:t>
            </w:r>
          </w:p>
        </w:tc>
        <w:tc>
          <w:tcPr>
            <w:tcW w:w="1531" w:type="dxa"/>
          </w:tcPr>
          <w:p>
            <w:pPr>
              <w:pStyle w:val="0"/>
              <w:jc w:val="center"/>
            </w:pPr>
            <w:r>
              <w:rPr>
                <w:sz w:val="24"/>
              </w:rPr>
              <w:t xml:space="preserve">97252199,46</w:t>
            </w:r>
          </w:p>
        </w:tc>
        <w:tc>
          <w:tcPr>
            <w:tcW w:w="1587" w:type="dxa"/>
          </w:tcPr>
          <w:p>
            <w:pPr>
              <w:pStyle w:val="0"/>
              <w:jc w:val="center"/>
            </w:pPr>
            <w:r>
              <w:rPr>
                <w:sz w:val="24"/>
              </w:rPr>
              <w:t xml:space="preserve">46275186,84</w:t>
            </w:r>
          </w:p>
        </w:tc>
        <w:tc>
          <w:tcPr>
            <w:tcW w:w="1474" w:type="dxa"/>
          </w:tcPr>
          <w:p>
            <w:pPr>
              <w:pStyle w:val="0"/>
              <w:jc w:val="center"/>
            </w:pPr>
            <w:r>
              <w:rPr>
                <w:sz w:val="24"/>
              </w:rPr>
              <w:t xml:space="preserve">2039646,40</w:t>
            </w:r>
          </w:p>
        </w:tc>
        <w:tc>
          <w:tcPr>
            <w:tcW w:w="1474" w:type="dxa"/>
          </w:tcPr>
          <w:p>
            <w:pPr>
              <w:pStyle w:val="0"/>
              <w:jc w:val="center"/>
            </w:pPr>
            <w:r>
              <w:rPr>
                <w:sz w:val="24"/>
              </w:rPr>
              <w:t xml:space="preserve">0,00</w:t>
            </w:r>
          </w:p>
        </w:tc>
        <w:tc>
          <w:tcPr>
            <w:tcW w:w="1474" w:type="dxa"/>
          </w:tcPr>
          <w:p>
            <w:pPr>
              <w:pStyle w:val="0"/>
              <w:jc w:val="center"/>
            </w:pPr>
            <w:r>
              <w:rPr>
                <w:sz w:val="24"/>
              </w:rPr>
              <w:t xml:space="preserve">2039646,40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tcW w:w="567" w:type="dxa"/>
          </w:tcPr>
          <w:p>
            <w:pPr>
              <w:pStyle w:val="0"/>
              <w:jc w:val="both"/>
            </w:pPr>
            <w:r>
              <w:rPr>
                <w:sz w:val="24"/>
              </w:rPr>
              <w:t xml:space="preserve">1</w:t>
            </w:r>
          </w:p>
        </w:tc>
        <w:tc>
          <w:tcPr>
            <w:tcW w:w="2324" w:type="dxa"/>
          </w:tcPr>
          <w:p>
            <w:pPr>
              <w:pStyle w:val="0"/>
              <w:jc w:val="both"/>
            </w:pPr>
            <w:r>
              <w:rPr>
                <w:sz w:val="24"/>
              </w:rPr>
              <w:t xml:space="preserve">Итого по городскому округу Иваново</w:t>
            </w:r>
          </w:p>
        </w:tc>
        <w:tc>
          <w:tcPr>
            <w:tcW w:w="1134" w:type="dxa"/>
          </w:tcPr>
          <w:p>
            <w:pPr>
              <w:pStyle w:val="0"/>
              <w:jc w:val="center"/>
            </w:pPr>
            <w:r>
              <w:rPr>
                <w:sz w:val="24"/>
              </w:rPr>
              <w:t xml:space="preserve">148</w:t>
            </w:r>
          </w:p>
        </w:tc>
        <w:tc>
          <w:tcPr>
            <w:tcW w:w="737" w:type="dxa"/>
          </w:tcPr>
          <w:p>
            <w:pPr>
              <w:pStyle w:val="0"/>
              <w:jc w:val="center"/>
            </w:pPr>
            <w:r>
              <w:rPr>
                <w:sz w:val="24"/>
              </w:rPr>
              <w:t xml:space="preserve">62</w:t>
            </w:r>
          </w:p>
        </w:tc>
        <w:tc>
          <w:tcPr>
            <w:tcW w:w="1134" w:type="dxa"/>
          </w:tcPr>
          <w:p>
            <w:pPr>
              <w:pStyle w:val="0"/>
              <w:jc w:val="center"/>
            </w:pPr>
            <w:r>
              <w:rPr>
                <w:sz w:val="24"/>
              </w:rPr>
              <w:t xml:space="preserve">52</w:t>
            </w:r>
          </w:p>
        </w:tc>
        <w:tc>
          <w:tcPr>
            <w:tcW w:w="1020" w:type="dxa"/>
          </w:tcPr>
          <w:p>
            <w:pPr>
              <w:pStyle w:val="0"/>
              <w:jc w:val="center"/>
            </w:pPr>
            <w:r>
              <w:rPr>
                <w:sz w:val="24"/>
              </w:rPr>
              <w:t xml:space="preserve">10</w:t>
            </w:r>
          </w:p>
        </w:tc>
        <w:tc>
          <w:tcPr>
            <w:tcW w:w="1191" w:type="dxa"/>
          </w:tcPr>
          <w:p>
            <w:pPr>
              <w:pStyle w:val="0"/>
              <w:jc w:val="center"/>
            </w:pPr>
            <w:r>
              <w:rPr>
                <w:sz w:val="24"/>
              </w:rPr>
              <w:t xml:space="preserve">2626,00</w:t>
            </w:r>
          </w:p>
        </w:tc>
        <w:tc>
          <w:tcPr>
            <w:tcW w:w="1191" w:type="dxa"/>
          </w:tcPr>
          <w:p>
            <w:pPr>
              <w:pStyle w:val="0"/>
              <w:jc w:val="center"/>
            </w:pPr>
            <w:r>
              <w:rPr>
                <w:sz w:val="24"/>
              </w:rPr>
              <w:t xml:space="preserve">2087,30</w:t>
            </w:r>
          </w:p>
        </w:tc>
        <w:tc>
          <w:tcPr>
            <w:tcW w:w="1134" w:type="dxa"/>
          </w:tcPr>
          <w:p>
            <w:pPr>
              <w:pStyle w:val="0"/>
              <w:jc w:val="center"/>
            </w:pPr>
            <w:r>
              <w:rPr>
                <w:sz w:val="24"/>
              </w:rPr>
              <w:t xml:space="preserve">538,70</w:t>
            </w:r>
          </w:p>
        </w:tc>
        <w:tc>
          <w:tcPr>
            <w:tcW w:w="1701" w:type="dxa"/>
          </w:tcPr>
          <w:p>
            <w:pPr>
              <w:pStyle w:val="0"/>
              <w:jc w:val="center"/>
            </w:pPr>
            <w:r>
              <w:rPr>
                <w:sz w:val="24"/>
              </w:rPr>
              <w:t xml:space="preserve">193168886,74</w:t>
            </w:r>
          </w:p>
        </w:tc>
        <w:tc>
          <w:tcPr>
            <w:tcW w:w="1701" w:type="dxa"/>
          </w:tcPr>
          <w:p>
            <w:pPr>
              <w:pStyle w:val="0"/>
              <w:jc w:val="center"/>
            </w:pPr>
            <w:r>
              <w:rPr>
                <w:sz w:val="24"/>
              </w:rPr>
              <w:t xml:space="preserve">83517257,69</w:t>
            </w:r>
          </w:p>
        </w:tc>
        <w:tc>
          <w:tcPr>
            <w:tcW w:w="1531" w:type="dxa"/>
          </w:tcPr>
          <w:p>
            <w:pPr>
              <w:pStyle w:val="0"/>
              <w:jc w:val="center"/>
            </w:pPr>
            <w:r>
              <w:rPr>
                <w:sz w:val="24"/>
              </w:rPr>
              <w:t xml:space="preserve">67521786,96</w:t>
            </w:r>
          </w:p>
        </w:tc>
        <w:tc>
          <w:tcPr>
            <w:tcW w:w="1587" w:type="dxa"/>
          </w:tcPr>
          <w:p>
            <w:pPr>
              <w:pStyle w:val="0"/>
              <w:jc w:val="center"/>
            </w:pPr>
            <w:r>
              <w:rPr>
                <w:sz w:val="24"/>
              </w:rPr>
              <w:t xml:space="preserve">42129842,09</w:t>
            </w:r>
          </w:p>
        </w:tc>
        <w:tc>
          <w:tcPr>
            <w:tcW w:w="1474" w:type="dxa"/>
          </w:tcPr>
          <w:p>
            <w:pPr>
              <w:pStyle w:val="0"/>
              <w:jc w:val="center"/>
            </w:pPr>
            <w:r>
              <w:rPr>
                <w:sz w:val="24"/>
              </w:rPr>
              <w:t xml:space="preserve">2039646,40</w:t>
            </w:r>
          </w:p>
        </w:tc>
        <w:tc>
          <w:tcPr>
            <w:tcW w:w="1474" w:type="dxa"/>
          </w:tcPr>
          <w:p>
            <w:pPr>
              <w:pStyle w:val="0"/>
              <w:jc w:val="center"/>
            </w:pPr>
            <w:r>
              <w:rPr>
                <w:sz w:val="24"/>
              </w:rPr>
              <w:t xml:space="preserve">0,00</w:t>
            </w:r>
          </w:p>
        </w:tc>
        <w:tc>
          <w:tcPr>
            <w:tcW w:w="1474" w:type="dxa"/>
          </w:tcPr>
          <w:p>
            <w:pPr>
              <w:pStyle w:val="0"/>
              <w:jc w:val="center"/>
            </w:pPr>
            <w:r>
              <w:rPr>
                <w:sz w:val="24"/>
              </w:rPr>
              <w:t xml:space="preserve">2039646,40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tcW w:w="567" w:type="dxa"/>
          </w:tcPr>
          <w:p>
            <w:pPr>
              <w:pStyle w:val="0"/>
              <w:jc w:val="both"/>
            </w:pPr>
            <w:r>
              <w:rPr>
                <w:sz w:val="24"/>
              </w:rPr>
              <w:t xml:space="preserve">2</w:t>
            </w:r>
          </w:p>
        </w:tc>
        <w:tc>
          <w:tcPr>
            <w:tcW w:w="2324" w:type="dxa"/>
          </w:tcPr>
          <w:p>
            <w:pPr>
              <w:pStyle w:val="0"/>
              <w:jc w:val="both"/>
            </w:pPr>
            <w:r>
              <w:rPr>
                <w:sz w:val="24"/>
              </w:rPr>
              <w:t xml:space="preserve">Итого по городскому округу Кинешма</w:t>
            </w:r>
          </w:p>
        </w:tc>
        <w:tc>
          <w:tcPr>
            <w:tcW w:w="1134" w:type="dxa"/>
          </w:tcPr>
          <w:p>
            <w:pPr>
              <w:pStyle w:val="0"/>
              <w:jc w:val="center"/>
            </w:pPr>
            <w:r>
              <w:rPr>
                <w:sz w:val="24"/>
              </w:rPr>
              <w:t xml:space="preserve">104</w:t>
            </w:r>
          </w:p>
        </w:tc>
        <w:tc>
          <w:tcPr>
            <w:tcW w:w="737" w:type="dxa"/>
          </w:tcPr>
          <w:p>
            <w:pPr>
              <w:pStyle w:val="0"/>
              <w:jc w:val="center"/>
            </w:pPr>
            <w:r>
              <w:rPr>
                <w:sz w:val="24"/>
              </w:rPr>
              <w:t xml:space="preserve">43</w:t>
            </w:r>
          </w:p>
        </w:tc>
        <w:tc>
          <w:tcPr>
            <w:tcW w:w="1134" w:type="dxa"/>
          </w:tcPr>
          <w:p>
            <w:pPr>
              <w:pStyle w:val="0"/>
              <w:jc w:val="center"/>
            </w:pPr>
            <w:r>
              <w:rPr>
                <w:sz w:val="24"/>
              </w:rPr>
              <w:t xml:space="preserve">36</w:t>
            </w:r>
          </w:p>
        </w:tc>
        <w:tc>
          <w:tcPr>
            <w:tcW w:w="1020" w:type="dxa"/>
          </w:tcPr>
          <w:p>
            <w:pPr>
              <w:pStyle w:val="0"/>
              <w:jc w:val="center"/>
            </w:pPr>
            <w:r>
              <w:rPr>
                <w:sz w:val="24"/>
              </w:rPr>
              <w:t xml:space="preserve">7</w:t>
            </w:r>
          </w:p>
        </w:tc>
        <w:tc>
          <w:tcPr>
            <w:tcW w:w="1191" w:type="dxa"/>
          </w:tcPr>
          <w:p>
            <w:pPr>
              <w:pStyle w:val="0"/>
              <w:jc w:val="center"/>
            </w:pPr>
            <w:r>
              <w:rPr>
                <w:sz w:val="24"/>
              </w:rPr>
              <w:t xml:space="preserve">1449,80</w:t>
            </w:r>
          </w:p>
        </w:tc>
        <w:tc>
          <w:tcPr>
            <w:tcW w:w="1191" w:type="dxa"/>
          </w:tcPr>
          <w:p>
            <w:pPr>
              <w:pStyle w:val="0"/>
              <w:jc w:val="center"/>
            </w:pPr>
            <w:r>
              <w:rPr>
                <w:sz w:val="24"/>
              </w:rPr>
              <w:t xml:space="preserve">1221,10</w:t>
            </w:r>
          </w:p>
        </w:tc>
        <w:tc>
          <w:tcPr>
            <w:tcW w:w="1134" w:type="dxa"/>
          </w:tcPr>
          <w:p>
            <w:pPr>
              <w:pStyle w:val="0"/>
              <w:jc w:val="center"/>
            </w:pPr>
            <w:r>
              <w:rPr>
                <w:sz w:val="24"/>
              </w:rPr>
              <w:t xml:space="preserve">228,70</w:t>
            </w:r>
          </w:p>
        </w:tc>
        <w:tc>
          <w:tcPr>
            <w:tcW w:w="1701" w:type="dxa"/>
          </w:tcPr>
          <w:p>
            <w:pPr>
              <w:pStyle w:val="0"/>
              <w:jc w:val="center"/>
            </w:pPr>
            <w:r>
              <w:rPr>
                <w:sz w:val="24"/>
              </w:rPr>
              <w:t xml:space="preserve">82906894,88</w:t>
            </w:r>
          </w:p>
        </w:tc>
        <w:tc>
          <w:tcPr>
            <w:tcW w:w="1701" w:type="dxa"/>
          </w:tcPr>
          <w:p>
            <w:pPr>
              <w:pStyle w:val="0"/>
              <w:jc w:val="center"/>
            </w:pPr>
            <w:r>
              <w:rPr>
                <w:sz w:val="24"/>
              </w:rPr>
              <w:t xml:space="preserve">49031137,63</w:t>
            </w:r>
          </w:p>
        </w:tc>
        <w:tc>
          <w:tcPr>
            <w:tcW w:w="1531" w:type="dxa"/>
          </w:tcPr>
          <w:p>
            <w:pPr>
              <w:pStyle w:val="0"/>
              <w:jc w:val="center"/>
            </w:pPr>
            <w:r>
              <w:rPr>
                <w:sz w:val="24"/>
              </w:rPr>
              <w:t xml:space="preserve">29730412,50</w:t>
            </w:r>
          </w:p>
        </w:tc>
        <w:tc>
          <w:tcPr>
            <w:tcW w:w="1587" w:type="dxa"/>
          </w:tcPr>
          <w:p>
            <w:pPr>
              <w:pStyle w:val="0"/>
              <w:jc w:val="center"/>
            </w:pPr>
            <w:r>
              <w:rPr>
                <w:sz w:val="24"/>
              </w:rPr>
              <w:t xml:space="preserve">4145344,75</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gridSpan w:val="2"/>
            <w:tcW w:w="2891" w:type="dxa"/>
          </w:tcPr>
          <w:p>
            <w:pPr>
              <w:pStyle w:val="0"/>
              <w:jc w:val="both"/>
            </w:pPr>
            <w:r>
              <w:rPr>
                <w:sz w:val="24"/>
              </w:rPr>
              <w:t xml:space="preserve">Всего по этапу 2026 года</w:t>
            </w:r>
          </w:p>
        </w:tc>
        <w:tc>
          <w:tcPr>
            <w:tcW w:w="1134" w:type="dxa"/>
          </w:tcPr>
          <w:p>
            <w:pPr>
              <w:pStyle w:val="0"/>
              <w:jc w:val="center"/>
            </w:pPr>
            <w:r>
              <w:rPr>
                <w:sz w:val="24"/>
              </w:rPr>
              <w:t xml:space="preserve">272</w:t>
            </w:r>
          </w:p>
        </w:tc>
        <w:tc>
          <w:tcPr>
            <w:tcW w:w="737" w:type="dxa"/>
          </w:tcPr>
          <w:p>
            <w:pPr>
              <w:pStyle w:val="0"/>
              <w:jc w:val="center"/>
            </w:pPr>
            <w:r>
              <w:rPr>
                <w:sz w:val="24"/>
              </w:rPr>
              <w:t xml:space="preserve">119</w:t>
            </w:r>
          </w:p>
        </w:tc>
        <w:tc>
          <w:tcPr>
            <w:tcW w:w="1134" w:type="dxa"/>
          </w:tcPr>
          <w:p>
            <w:pPr>
              <w:pStyle w:val="0"/>
              <w:jc w:val="center"/>
            </w:pPr>
            <w:r>
              <w:rPr>
                <w:sz w:val="24"/>
              </w:rPr>
              <w:t xml:space="preserve">70</w:t>
            </w:r>
          </w:p>
        </w:tc>
        <w:tc>
          <w:tcPr>
            <w:tcW w:w="1020" w:type="dxa"/>
          </w:tcPr>
          <w:p>
            <w:pPr>
              <w:pStyle w:val="0"/>
              <w:jc w:val="center"/>
            </w:pPr>
            <w:r>
              <w:rPr>
                <w:sz w:val="24"/>
              </w:rPr>
              <w:t xml:space="preserve">49</w:t>
            </w:r>
          </w:p>
        </w:tc>
        <w:tc>
          <w:tcPr>
            <w:tcW w:w="1191" w:type="dxa"/>
          </w:tcPr>
          <w:p>
            <w:pPr>
              <w:pStyle w:val="0"/>
              <w:jc w:val="center"/>
            </w:pPr>
            <w:r>
              <w:rPr>
                <w:sz w:val="24"/>
              </w:rPr>
              <w:t xml:space="preserve">4752,66</w:t>
            </w:r>
          </w:p>
        </w:tc>
        <w:tc>
          <w:tcPr>
            <w:tcW w:w="1191" w:type="dxa"/>
          </w:tcPr>
          <w:p>
            <w:pPr>
              <w:pStyle w:val="0"/>
              <w:jc w:val="center"/>
            </w:pPr>
            <w:r>
              <w:rPr>
                <w:sz w:val="24"/>
              </w:rPr>
              <w:t xml:space="preserve">2708,10</w:t>
            </w:r>
          </w:p>
        </w:tc>
        <w:tc>
          <w:tcPr>
            <w:tcW w:w="1134" w:type="dxa"/>
          </w:tcPr>
          <w:p>
            <w:pPr>
              <w:pStyle w:val="0"/>
              <w:jc w:val="center"/>
            </w:pPr>
            <w:r>
              <w:rPr>
                <w:sz w:val="24"/>
              </w:rPr>
              <w:t xml:space="preserve">2044,56</w:t>
            </w:r>
          </w:p>
        </w:tc>
        <w:tc>
          <w:tcPr>
            <w:tcW w:w="1701" w:type="dxa"/>
          </w:tcPr>
          <w:p>
            <w:pPr>
              <w:pStyle w:val="0"/>
              <w:jc w:val="center"/>
            </w:pPr>
            <w:r>
              <w:rPr>
                <w:sz w:val="24"/>
              </w:rPr>
              <w:t xml:space="preserve">360101212,58</w:t>
            </w:r>
          </w:p>
        </w:tc>
        <w:tc>
          <w:tcPr>
            <w:tcW w:w="1701" w:type="dxa"/>
          </w:tcPr>
          <w:p>
            <w:pPr>
              <w:pStyle w:val="0"/>
              <w:jc w:val="center"/>
            </w:pPr>
            <w:r>
              <w:rPr>
                <w:sz w:val="24"/>
              </w:rPr>
              <w:t xml:space="preserve">169692452,56</w:t>
            </w:r>
          </w:p>
        </w:tc>
        <w:tc>
          <w:tcPr>
            <w:tcW w:w="1531" w:type="dxa"/>
          </w:tcPr>
          <w:p>
            <w:pPr>
              <w:pStyle w:val="0"/>
              <w:jc w:val="center"/>
            </w:pPr>
            <w:r>
              <w:rPr>
                <w:sz w:val="24"/>
              </w:rPr>
              <w:t xml:space="preserve">120194680,22</w:t>
            </w:r>
          </w:p>
        </w:tc>
        <w:tc>
          <w:tcPr>
            <w:tcW w:w="1587" w:type="dxa"/>
          </w:tcPr>
          <w:p>
            <w:pPr>
              <w:pStyle w:val="0"/>
              <w:jc w:val="center"/>
            </w:pPr>
            <w:r>
              <w:rPr>
                <w:sz w:val="24"/>
              </w:rPr>
              <w:t xml:space="preserve">70214079,80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tcW w:w="567" w:type="dxa"/>
          </w:tcPr>
          <w:p>
            <w:pPr>
              <w:pStyle w:val="0"/>
              <w:jc w:val="both"/>
            </w:pPr>
            <w:r>
              <w:rPr>
                <w:sz w:val="24"/>
              </w:rPr>
              <w:t xml:space="preserve">1</w:t>
            </w:r>
          </w:p>
        </w:tc>
        <w:tc>
          <w:tcPr>
            <w:tcW w:w="2324" w:type="dxa"/>
          </w:tcPr>
          <w:p>
            <w:pPr>
              <w:pStyle w:val="0"/>
              <w:jc w:val="both"/>
            </w:pPr>
            <w:r>
              <w:rPr>
                <w:sz w:val="24"/>
              </w:rPr>
              <w:t xml:space="preserve">Итого по городскому округу Иваново</w:t>
            </w:r>
          </w:p>
        </w:tc>
        <w:tc>
          <w:tcPr>
            <w:tcW w:w="1134" w:type="dxa"/>
          </w:tcPr>
          <w:p>
            <w:pPr>
              <w:pStyle w:val="0"/>
              <w:jc w:val="center"/>
            </w:pPr>
            <w:r>
              <w:rPr>
                <w:sz w:val="24"/>
              </w:rPr>
              <w:t xml:space="preserve">110</w:t>
            </w:r>
          </w:p>
        </w:tc>
        <w:tc>
          <w:tcPr>
            <w:tcW w:w="737" w:type="dxa"/>
          </w:tcPr>
          <w:p>
            <w:pPr>
              <w:pStyle w:val="0"/>
              <w:jc w:val="center"/>
            </w:pPr>
            <w:r>
              <w:rPr>
                <w:sz w:val="24"/>
              </w:rPr>
              <w:t xml:space="preserve">47</w:t>
            </w:r>
          </w:p>
        </w:tc>
        <w:tc>
          <w:tcPr>
            <w:tcW w:w="1134" w:type="dxa"/>
          </w:tcPr>
          <w:p>
            <w:pPr>
              <w:pStyle w:val="0"/>
              <w:jc w:val="center"/>
            </w:pPr>
            <w:r>
              <w:rPr>
                <w:sz w:val="24"/>
              </w:rPr>
              <w:t xml:space="preserve">34</w:t>
            </w:r>
          </w:p>
        </w:tc>
        <w:tc>
          <w:tcPr>
            <w:tcW w:w="1020" w:type="dxa"/>
          </w:tcPr>
          <w:p>
            <w:pPr>
              <w:pStyle w:val="0"/>
              <w:jc w:val="center"/>
            </w:pPr>
            <w:r>
              <w:rPr>
                <w:sz w:val="24"/>
              </w:rPr>
              <w:t xml:space="preserve">13</w:t>
            </w:r>
          </w:p>
        </w:tc>
        <w:tc>
          <w:tcPr>
            <w:tcW w:w="1191" w:type="dxa"/>
          </w:tcPr>
          <w:p>
            <w:pPr>
              <w:pStyle w:val="0"/>
              <w:jc w:val="center"/>
            </w:pPr>
            <w:r>
              <w:rPr>
                <w:sz w:val="24"/>
              </w:rPr>
              <w:t xml:space="preserve">1781,90</w:t>
            </w:r>
          </w:p>
        </w:tc>
        <w:tc>
          <w:tcPr>
            <w:tcW w:w="1191" w:type="dxa"/>
          </w:tcPr>
          <w:p>
            <w:pPr>
              <w:pStyle w:val="0"/>
              <w:jc w:val="center"/>
            </w:pPr>
            <w:r>
              <w:rPr>
                <w:sz w:val="24"/>
              </w:rPr>
              <w:t xml:space="preserve">1114,10</w:t>
            </w:r>
          </w:p>
        </w:tc>
        <w:tc>
          <w:tcPr>
            <w:tcW w:w="1134" w:type="dxa"/>
          </w:tcPr>
          <w:p>
            <w:pPr>
              <w:pStyle w:val="0"/>
              <w:jc w:val="center"/>
            </w:pPr>
            <w:r>
              <w:rPr>
                <w:sz w:val="24"/>
              </w:rPr>
              <w:t xml:space="preserve">667,80</w:t>
            </w:r>
          </w:p>
        </w:tc>
        <w:tc>
          <w:tcPr>
            <w:tcW w:w="1701" w:type="dxa"/>
          </w:tcPr>
          <w:p>
            <w:pPr>
              <w:pStyle w:val="0"/>
              <w:jc w:val="center"/>
            </w:pPr>
            <w:r>
              <w:rPr>
                <w:sz w:val="24"/>
              </w:rPr>
              <w:t xml:space="preserve">176726119,50</w:t>
            </w:r>
          </w:p>
        </w:tc>
        <w:tc>
          <w:tcPr>
            <w:tcW w:w="1701" w:type="dxa"/>
          </w:tcPr>
          <w:p>
            <w:pPr>
              <w:pStyle w:val="0"/>
              <w:jc w:val="center"/>
            </w:pPr>
            <w:r>
              <w:rPr>
                <w:sz w:val="24"/>
              </w:rPr>
              <w:t xml:space="preserve">69614769,88</w:t>
            </w:r>
          </w:p>
        </w:tc>
        <w:tc>
          <w:tcPr>
            <w:tcW w:w="1531" w:type="dxa"/>
          </w:tcPr>
          <w:p>
            <w:pPr>
              <w:pStyle w:val="0"/>
              <w:jc w:val="center"/>
            </w:pPr>
            <w:r>
              <w:rPr>
                <w:sz w:val="24"/>
              </w:rPr>
              <w:t xml:space="preserve">56282181,07</w:t>
            </w:r>
          </w:p>
        </w:tc>
        <w:tc>
          <w:tcPr>
            <w:tcW w:w="1587" w:type="dxa"/>
          </w:tcPr>
          <w:p>
            <w:pPr>
              <w:pStyle w:val="0"/>
              <w:jc w:val="center"/>
            </w:pPr>
            <w:r>
              <w:rPr>
                <w:sz w:val="24"/>
              </w:rPr>
              <w:t xml:space="preserve">50829168,55</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tcW w:w="567" w:type="dxa"/>
          </w:tcPr>
          <w:p>
            <w:pPr>
              <w:pStyle w:val="0"/>
              <w:jc w:val="both"/>
            </w:pPr>
            <w:r>
              <w:rPr>
                <w:sz w:val="24"/>
              </w:rPr>
              <w:t xml:space="preserve">2</w:t>
            </w:r>
          </w:p>
        </w:tc>
        <w:tc>
          <w:tcPr>
            <w:tcW w:w="2324" w:type="dxa"/>
          </w:tcPr>
          <w:p>
            <w:pPr>
              <w:pStyle w:val="0"/>
              <w:jc w:val="both"/>
            </w:pPr>
            <w:r>
              <w:rPr>
                <w:sz w:val="24"/>
              </w:rPr>
              <w:t xml:space="preserve">Итого по городскому округу Кинешма</w:t>
            </w:r>
          </w:p>
        </w:tc>
        <w:tc>
          <w:tcPr>
            <w:tcW w:w="1134" w:type="dxa"/>
          </w:tcPr>
          <w:p>
            <w:pPr>
              <w:pStyle w:val="0"/>
              <w:jc w:val="center"/>
            </w:pPr>
            <w:r>
              <w:rPr>
                <w:sz w:val="24"/>
              </w:rPr>
              <w:t xml:space="preserve">88</w:t>
            </w:r>
          </w:p>
        </w:tc>
        <w:tc>
          <w:tcPr>
            <w:tcW w:w="737" w:type="dxa"/>
          </w:tcPr>
          <w:p>
            <w:pPr>
              <w:pStyle w:val="0"/>
              <w:jc w:val="center"/>
            </w:pPr>
            <w:r>
              <w:rPr>
                <w:sz w:val="24"/>
              </w:rPr>
              <w:t xml:space="preserve">39</w:t>
            </w:r>
          </w:p>
        </w:tc>
        <w:tc>
          <w:tcPr>
            <w:tcW w:w="1134" w:type="dxa"/>
          </w:tcPr>
          <w:p>
            <w:pPr>
              <w:pStyle w:val="0"/>
              <w:jc w:val="center"/>
            </w:pPr>
            <w:r>
              <w:rPr>
                <w:sz w:val="24"/>
              </w:rPr>
              <w:t xml:space="preserve">14</w:t>
            </w:r>
          </w:p>
        </w:tc>
        <w:tc>
          <w:tcPr>
            <w:tcW w:w="1020" w:type="dxa"/>
          </w:tcPr>
          <w:p>
            <w:pPr>
              <w:pStyle w:val="0"/>
              <w:jc w:val="center"/>
            </w:pPr>
            <w:r>
              <w:rPr>
                <w:sz w:val="24"/>
              </w:rPr>
              <w:t xml:space="preserve">25</w:t>
            </w:r>
          </w:p>
        </w:tc>
        <w:tc>
          <w:tcPr>
            <w:tcW w:w="1191" w:type="dxa"/>
          </w:tcPr>
          <w:p>
            <w:pPr>
              <w:pStyle w:val="0"/>
              <w:jc w:val="center"/>
            </w:pPr>
            <w:r>
              <w:rPr>
                <w:sz w:val="24"/>
              </w:rPr>
              <w:t xml:space="preserve">1464,16</w:t>
            </w:r>
          </w:p>
        </w:tc>
        <w:tc>
          <w:tcPr>
            <w:tcW w:w="1191" w:type="dxa"/>
          </w:tcPr>
          <w:p>
            <w:pPr>
              <w:pStyle w:val="0"/>
              <w:jc w:val="center"/>
            </w:pPr>
            <w:r>
              <w:rPr>
                <w:sz w:val="24"/>
              </w:rPr>
              <w:t xml:space="preserve">561,50</w:t>
            </w:r>
          </w:p>
        </w:tc>
        <w:tc>
          <w:tcPr>
            <w:tcW w:w="1134" w:type="dxa"/>
          </w:tcPr>
          <w:p>
            <w:pPr>
              <w:pStyle w:val="0"/>
              <w:jc w:val="center"/>
            </w:pPr>
            <w:r>
              <w:rPr>
                <w:sz w:val="24"/>
              </w:rPr>
              <w:t xml:space="preserve">902,66</w:t>
            </w:r>
          </w:p>
        </w:tc>
        <w:tc>
          <w:tcPr>
            <w:tcW w:w="1701" w:type="dxa"/>
          </w:tcPr>
          <w:p>
            <w:pPr>
              <w:pStyle w:val="0"/>
              <w:jc w:val="center"/>
            </w:pPr>
            <w:r>
              <w:rPr>
                <w:sz w:val="24"/>
              </w:rPr>
              <w:t xml:space="preserve">96722409,60</w:t>
            </w:r>
          </w:p>
        </w:tc>
        <w:tc>
          <w:tcPr>
            <w:tcW w:w="1701" w:type="dxa"/>
          </w:tcPr>
          <w:p>
            <w:pPr>
              <w:pStyle w:val="0"/>
              <w:jc w:val="center"/>
            </w:pPr>
            <w:r>
              <w:rPr>
                <w:sz w:val="24"/>
              </w:rPr>
              <w:t xml:space="preserve">57201633,03</w:t>
            </w:r>
          </w:p>
        </w:tc>
        <w:tc>
          <w:tcPr>
            <w:tcW w:w="1531" w:type="dxa"/>
          </w:tcPr>
          <w:p>
            <w:pPr>
              <w:pStyle w:val="0"/>
              <w:jc w:val="center"/>
            </w:pPr>
            <w:r>
              <w:rPr>
                <w:sz w:val="24"/>
              </w:rPr>
              <w:t xml:space="preserve">34684656,09</w:t>
            </w:r>
          </w:p>
        </w:tc>
        <w:tc>
          <w:tcPr>
            <w:tcW w:w="1587" w:type="dxa"/>
          </w:tcPr>
          <w:p>
            <w:pPr>
              <w:pStyle w:val="0"/>
              <w:jc w:val="center"/>
            </w:pPr>
            <w:r>
              <w:rPr>
                <w:sz w:val="24"/>
              </w:rPr>
              <w:t xml:space="preserve">4836120,48</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tcW w:w="567" w:type="dxa"/>
          </w:tcPr>
          <w:p>
            <w:pPr>
              <w:pStyle w:val="0"/>
              <w:jc w:val="both"/>
            </w:pPr>
            <w:r>
              <w:rPr>
                <w:sz w:val="24"/>
              </w:rPr>
              <w:t xml:space="preserve">3</w:t>
            </w:r>
          </w:p>
        </w:tc>
        <w:tc>
          <w:tcPr>
            <w:tcW w:w="2324" w:type="dxa"/>
          </w:tcPr>
          <w:p>
            <w:pPr>
              <w:pStyle w:val="0"/>
              <w:jc w:val="both"/>
            </w:pPr>
            <w:r>
              <w:rPr>
                <w:sz w:val="24"/>
              </w:rPr>
              <w:t xml:space="preserve">Итого по городскому округу Кохма</w:t>
            </w:r>
          </w:p>
        </w:tc>
        <w:tc>
          <w:tcPr>
            <w:tcW w:w="1134" w:type="dxa"/>
          </w:tcPr>
          <w:p>
            <w:pPr>
              <w:pStyle w:val="0"/>
              <w:jc w:val="center"/>
            </w:pPr>
            <w:r>
              <w:rPr>
                <w:sz w:val="24"/>
              </w:rPr>
              <w:t xml:space="preserve">27</w:t>
            </w:r>
          </w:p>
        </w:tc>
        <w:tc>
          <w:tcPr>
            <w:tcW w:w="737" w:type="dxa"/>
          </w:tcPr>
          <w:p>
            <w:pPr>
              <w:pStyle w:val="0"/>
              <w:jc w:val="center"/>
            </w:pPr>
            <w:r>
              <w:rPr>
                <w:sz w:val="24"/>
              </w:rPr>
              <w:t xml:space="preserve">9</w:t>
            </w:r>
          </w:p>
        </w:tc>
        <w:tc>
          <w:tcPr>
            <w:tcW w:w="1134" w:type="dxa"/>
          </w:tcPr>
          <w:p>
            <w:pPr>
              <w:pStyle w:val="0"/>
              <w:jc w:val="center"/>
            </w:pPr>
            <w:r>
              <w:rPr>
                <w:sz w:val="24"/>
              </w:rPr>
              <w:t xml:space="preserve">8</w:t>
            </w:r>
          </w:p>
        </w:tc>
        <w:tc>
          <w:tcPr>
            <w:tcW w:w="1020" w:type="dxa"/>
          </w:tcPr>
          <w:p>
            <w:pPr>
              <w:pStyle w:val="0"/>
              <w:jc w:val="center"/>
            </w:pPr>
            <w:r>
              <w:rPr>
                <w:sz w:val="24"/>
              </w:rPr>
              <w:t xml:space="preserve">1</w:t>
            </w:r>
          </w:p>
        </w:tc>
        <w:tc>
          <w:tcPr>
            <w:tcW w:w="1191" w:type="dxa"/>
          </w:tcPr>
          <w:p>
            <w:pPr>
              <w:pStyle w:val="0"/>
              <w:jc w:val="center"/>
            </w:pPr>
            <w:r>
              <w:rPr>
                <w:sz w:val="24"/>
              </w:rPr>
              <w:t xml:space="preserve">409,00</w:t>
            </w:r>
          </w:p>
        </w:tc>
        <w:tc>
          <w:tcPr>
            <w:tcW w:w="1191" w:type="dxa"/>
          </w:tcPr>
          <w:p>
            <w:pPr>
              <w:pStyle w:val="0"/>
              <w:jc w:val="center"/>
            </w:pPr>
            <w:r>
              <w:rPr>
                <w:sz w:val="24"/>
              </w:rPr>
              <w:t xml:space="preserve">373,30</w:t>
            </w:r>
          </w:p>
        </w:tc>
        <w:tc>
          <w:tcPr>
            <w:tcW w:w="1134" w:type="dxa"/>
          </w:tcPr>
          <w:p>
            <w:pPr>
              <w:pStyle w:val="0"/>
              <w:jc w:val="center"/>
            </w:pPr>
            <w:r>
              <w:rPr>
                <w:sz w:val="24"/>
              </w:rPr>
              <w:t xml:space="preserve">35,70</w:t>
            </w:r>
          </w:p>
        </w:tc>
        <w:tc>
          <w:tcPr>
            <w:tcW w:w="1701" w:type="dxa"/>
          </w:tcPr>
          <w:p>
            <w:pPr>
              <w:pStyle w:val="0"/>
              <w:jc w:val="center"/>
            </w:pPr>
            <w:r>
              <w:rPr>
                <w:sz w:val="24"/>
              </w:rPr>
              <w:t xml:space="preserve">41171985,00</w:t>
            </w:r>
          </w:p>
        </w:tc>
        <w:tc>
          <w:tcPr>
            <w:tcW w:w="1701" w:type="dxa"/>
          </w:tcPr>
          <w:p>
            <w:pPr>
              <w:pStyle w:val="0"/>
              <w:jc w:val="center"/>
            </w:pPr>
            <w:r>
              <w:rPr>
                <w:sz w:val="24"/>
              </w:rPr>
              <w:t xml:space="preserve">15978764,56</w:t>
            </w:r>
          </w:p>
        </w:tc>
        <w:tc>
          <w:tcPr>
            <w:tcW w:w="1531" w:type="dxa"/>
          </w:tcPr>
          <w:p>
            <w:pPr>
              <w:pStyle w:val="0"/>
              <w:jc w:val="center"/>
            </w:pPr>
            <w:r>
              <w:rPr>
                <w:sz w:val="24"/>
              </w:rPr>
              <w:t xml:space="preserve">12918464,59</w:t>
            </w:r>
          </w:p>
        </w:tc>
        <w:tc>
          <w:tcPr>
            <w:tcW w:w="1587" w:type="dxa"/>
          </w:tcPr>
          <w:p>
            <w:pPr>
              <w:pStyle w:val="0"/>
              <w:jc w:val="center"/>
            </w:pPr>
            <w:r>
              <w:rPr>
                <w:sz w:val="24"/>
              </w:rPr>
              <w:t xml:space="preserve">12274755,85</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tcW w:w="567" w:type="dxa"/>
          </w:tcPr>
          <w:p>
            <w:pPr>
              <w:pStyle w:val="0"/>
              <w:jc w:val="both"/>
            </w:pPr>
            <w:r>
              <w:rPr>
                <w:sz w:val="24"/>
              </w:rPr>
              <w:t xml:space="preserve">4</w:t>
            </w:r>
          </w:p>
        </w:tc>
        <w:tc>
          <w:tcPr>
            <w:tcW w:w="2324" w:type="dxa"/>
          </w:tcPr>
          <w:p>
            <w:pPr>
              <w:pStyle w:val="0"/>
              <w:jc w:val="both"/>
            </w:pPr>
            <w:r>
              <w:rPr>
                <w:sz w:val="24"/>
              </w:rPr>
              <w:t xml:space="preserve">Итого по Заволжскому городскому поселению Заволжского муниципального района</w:t>
            </w:r>
          </w:p>
        </w:tc>
        <w:tc>
          <w:tcPr>
            <w:tcW w:w="1134" w:type="dxa"/>
          </w:tcPr>
          <w:p>
            <w:pPr>
              <w:pStyle w:val="0"/>
              <w:jc w:val="center"/>
            </w:pPr>
            <w:r>
              <w:rPr>
                <w:sz w:val="24"/>
              </w:rPr>
              <w:t xml:space="preserve">12</w:t>
            </w:r>
          </w:p>
        </w:tc>
        <w:tc>
          <w:tcPr>
            <w:tcW w:w="737" w:type="dxa"/>
          </w:tcPr>
          <w:p>
            <w:pPr>
              <w:pStyle w:val="0"/>
              <w:jc w:val="center"/>
            </w:pPr>
            <w:r>
              <w:rPr>
                <w:sz w:val="24"/>
              </w:rPr>
              <w:t xml:space="preserve">7</w:t>
            </w:r>
          </w:p>
        </w:tc>
        <w:tc>
          <w:tcPr>
            <w:tcW w:w="1134" w:type="dxa"/>
          </w:tcPr>
          <w:p>
            <w:pPr>
              <w:pStyle w:val="0"/>
              <w:jc w:val="center"/>
            </w:pPr>
            <w:r>
              <w:rPr>
                <w:sz w:val="24"/>
              </w:rPr>
              <w:t xml:space="preserve">1</w:t>
            </w:r>
          </w:p>
        </w:tc>
        <w:tc>
          <w:tcPr>
            <w:tcW w:w="1020" w:type="dxa"/>
          </w:tcPr>
          <w:p>
            <w:pPr>
              <w:pStyle w:val="0"/>
              <w:jc w:val="center"/>
            </w:pPr>
            <w:r>
              <w:rPr>
                <w:sz w:val="24"/>
              </w:rPr>
              <w:t xml:space="preserve">6</w:t>
            </w:r>
          </w:p>
        </w:tc>
        <w:tc>
          <w:tcPr>
            <w:tcW w:w="1191" w:type="dxa"/>
          </w:tcPr>
          <w:p>
            <w:pPr>
              <w:pStyle w:val="0"/>
              <w:jc w:val="center"/>
            </w:pPr>
            <w:r>
              <w:rPr>
                <w:sz w:val="24"/>
              </w:rPr>
              <w:t xml:space="preserve">338,70</w:t>
            </w:r>
          </w:p>
        </w:tc>
        <w:tc>
          <w:tcPr>
            <w:tcW w:w="1191" w:type="dxa"/>
          </w:tcPr>
          <w:p>
            <w:pPr>
              <w:pStyle w:val="0"/>
              <w:jc w:val="center"/>
            </w:pPr>
            <w:r>
              <w:rPr>
                <w:sz w:val="24"/>
              </w:rPr>
              <w:t xml:space="preserve">42,20</w:t>
            </w:r>
          </w:p>
        </w:tc>
        <w:tc>
          <w:tcPr>
            <w:tcW w:w="1134" w:type="dxa"/>
          </w:tcPr>
          <w:p>
            <w:pPr>
              <w:pStyle w:val="0"/>
              <w:jc w:val="center"/>
            </w:pPr>
            <w:r>
              <w:rPr>
                <w:sz w:val="24"/>
              </w:rPr>
              <w:t xml:space="preserve">296,50</w:t>
            </w:r>
          </w:p>
        </w:tc>
        <w:tc>
          <w:tcPr>
            <w:tcW w:w="1701" w:type="dxa"/>
          </w:tcPr>
          <w:p>
            <w:pPr>
              <w:pStyle w:val="0"/>
              <w:jc w:val="center"/>
            </w:pPr>
            <w:r>
              <w:rPr>
                <w:sz w:val="24"/>
              </w:rPr>
              <w:t xml:space="preserve">15478590,00</w:t>
            </w:r>
          </w:p>
        </w:tc>
        <w:tc>
          <w:tcPr>
            <w:tcW w:w="1701" w:type="dxa"/>
          </w:tcPr>
          <w:p>
            <w:pPr>
              <w:pStyle w:val="0"/>
              <w:jc w:val="center"/>
            </w:pPr>
            <w:r>
              <w:rPr>
                <w:sz w:val="24"/>
              </w:rPr>
              <w:t xml:space="preserve">9154038,13</w:t>
            </w:r>
          </w:p>
        </w:tc>
        <w:tc>
          <w:tcPr>
            <w:tcW w:w="1531" w:type="dxa"/>
          </w:tcPr>
          <w:p>
            <w:pPr>
              <w:pStyle w:val="0"/>
              <w:jc w:val="center"/>
            </w:pPr>
            <w:r>
              <w:rPr>
                <w:sz w:val="24"/>
              </w:rPr>
              <w:t xml:space="preserve">5550622,37</w:t>
            </w:r>
          </w:p>
        </w:tc>
        <w:tc>
          <w:tcPr>
            <w:tcW w:w="1587" w:type="dxa"/>
          </w:tcPr>
          <w:p>
            <w:pPr>
              <w:pStyle w:val="0"/>
              <w:jc w:val="center"/>
            </w:pPr>
            <w:r>
              <w:rPr>
                <w:sz w:val="24"/>
              </w:rPr>
              <w:t xml:space="preserve">773929,50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tcW w:w="567" w:type="dxa"/>
          </w:tcPr>
          <w:p>
            <w:pPr>
              <w:pStyle w:val="0"/>
              <w:jc w:val="both"/>
            </w:pPr>
            <w:r>
              <w:rPr>
                <w:sz w:val="24"/>
              </w:rPr>
              <w:t xml:space="preserve">5</w:t>
            </w:r>
          </w:p>
        </w:tc>
        <w:tc>
          <w:tcPr>
            <w:tcW w:w="2324" w:type="dxa"/>
          </w:tcPr>
          <w:p>
            <w:pPr>
              <w:pStyle w:val="0"/>
              <w:jc w:val="both"/>
            </w:pPr>
            <w:r>
              <w:rPr>
                <w:sz w:val="24"/>
              </w:rPr>
              <w:t xml:space="preserve">Итого по Лежневскому городскому поселению Лежневского муниципального района</w:t>
            </w:r>
          </w:p>
        </w:tc>
        <w:tc>
          <w:tcPr>
            <w:tcW w:w="1134" w:type="dxa"/>
          </w:tcPr>
          <w:p>
            <w:pPr>
              <w:pStyle w:val="0"/>
              <w:jc w:val="center"/>
            </w:pPr>
            <w:r>
              <w:rPr>
                <w:sz w:val="24"/>
              </w:rPr>
              <w:t xml:space="preserve">5</w:t>
            </w:r>
          </w:p>
        </w:tc>
        <w:tc>
          <w:tcPr>
            <w:tcW w:w="737" w:type="dxa"/>
          </w:tcPr>
          <w:p>
            <w:pPr>
              <w:pStyle w:val="0"/>
              <w:jc w:val="center"/>
            </w:pPr>
            <w:r>
              <w:rPr>
                <w:sz w:val="24"/>
              </w:rPr>
              <w:t xml:space="preserve">2</w:t>
            </w:r>
          </w:p>
        </w:tc>
        <w:tc>
          <w:tcPr>
            <w:tcW w:w="1134" w:type="dxa"/>
          </w:tcPr>
          <w:p>
            <w:pPr>
              <w:pStyle w:val="0"/>
              <w:jc w:val="center"/>
            </w:pPr>
            <w:r>
              <w:rPr>
                <w:sz w:val="24"/>
              </w:rPr>
              <w:t xml:space="preserve">2</w:t>
            </w:r>
          </w:p>
        </w:tc>
        <w:tc>
          <w:tcPr>
            <w:tcW w:w="1020" w:type="dxa"/>
          </w:tcPr>
          <w:p>
            <w:pPr>
              <w:pStyle w:val="0"/>
              <w:jc w:val="center"/>
            </w:pPr>
            <w:r>
              <w:rPr>
                <w:sz w:val="24"/>
              </w:rPr>
              <w:t xml:space="preserve">0</w:t>
            </w:r>
          </w:p>
        </w:tc>
        <w:tc>
          <w:tcPr>
            <w:tcW w:w="1191" w:type="dxa"/>
          </w:tcPr>
          <w:p>
            <w:pPr>
              <w:pStyle w:val="0"/>
              <w:jc w:val="center"/>
            </w:pPr>
            <w:r>
              <w:rPr>
                <w:sz w:val="24"/>
              </w:rPr>
              <w:t xml:space="preserve">96,80</w:t>
            </w:r>
          </w:p>
        </w:tc>
        <w:tc>
          <w:tcPr>
            <w:tcW w:w="1191" w:type="dxa"/>
          </w:tcPr>
          <w:p>
            <w:pPr>
              <w:pStyle w:val="0"/>
              <w:jc w:val="center"/>
            </w:pPr>
            <w:r>
              <w:rPr>
                <w:sz w:val="24"/>
              </w:rPr>
              <w:t xml:space="preserve">96,80</w:t>
            </w:r>
          </w:p>
        </w:tc>
        <w:tc>
          <w:tcPr>
            <w:tcW w:w="1134" w:type="dxa"/>
          </w:tcPr>
          <w:p>
            <w:pPr>
              <w:pStyle w:val="0"/>
              <w:jc w:val="center"/>
            </w:pPr>
            <w:r>
              <w:rPr>
                <w:sz w:val="24"/>
              </w:rPr>
              <w:t xml:space="preserve">0,00</w:t>
            </w:r>
          </w:p>
        </w:tc>
        <w:tc>
          <w:tcPr>
            <w:tcW w:w="1701" w:type="dxa"/>
          </w:tcPr>
          <w:p>
            <w:pPr>
              <w:pStyle w:val="0"/>
              <w:jc w:val="center"/>
            </w:pPr>
            <w:r>
              <w:rPr>
                <w:sz w:val="24"/>
              </w:rPr>
              <w:t xml:space="preserve">2379000,00</w:t>
            </w:r>
          </w:p>
        </w:tc>
        <w:tc>
          <w:tcPr>
            <w:tcW w:w="1701" w:type="dxa"/>
          </w:tcPr>
          <w:p>
            <w:pPr>
              <w:pStyle w:val="0"/>
              <w:jc w:val="center"/>
            </w:pPr>
            <w:r>
              <w:rPr>
                <w:sz w:val="24"/>
              </w:rPr>
              <w:t xml:space="preserve">1406940,60</w:t>
            </w:r>
          </w:p>
        </w:tc>
        <w:tc>
          <w:tcPr>
            <w:tcW w:w="1531" w:type="dxa"/>
          </w:tcPr>
          <w:p>
            <w:pPr>
              <w:pStyle w:val="0"/>
              <w:jc w:val="center"/>
            </w:pPr>
            <w:r>
              <w:rPr>
                <w:sz w:val="24"/>
              </w:rPr>
              <w:t xml:space="preserve">853109,40</w:t>
            </w:r>
          </w:p>
        </w:tc>
        <w:tc>
          <w:tcPr>
            <w:tcW w:w="1587" w:type="dxa"/>
          </w:tcPr>
          <w:p>
            <w:pPr>
              <w:pStyle w:val="0"/>
              <w:jc w:val="center"/>
            </w:pPr>
            <w:r>
              <w:rPr>
                <w:sz w:val="24"/>
              </w:rPr>
              <w:t xml:space="preserve">118950,00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tcW w:w="567" w:type="dxa"/>
          </w:tcPr>
          <w:p>
            <w:pPr>
              <w:pStyle w:val="0"/>
              <w:jc w:val="both"/>
            </w:pPr>
            <w:r>
              <w:rPr>
                <w:sz w:val="24"/>
              </w:rPr>
              <w:t xml:space="preserve">6</w:t>
            </w:r>
          </w:p>
        </w:tc>
        <w:tc>
          <w:tcPr>
            <w:tcW w:w="2324" w:type="dxa"/>
          </w:tcPr>
          <w:p>
            <w:pPr>
              <w:pStyle w:val="0"/>
              <w:jc w:val="both"/>
            </w:pPr>
            <w:r>
              <w:rPr>
                <w:sz w:val="24"/>
              </w:rPr>
              <w:t xml:space="preserve">Итого по Савинскому городскому поселению Савинского муниципального района</w:t>
            </w:r>
          </w:p>
        </w:tc>
        <w:tc>
          <w:tcPr>
            <w:tcW w:w="1134" w:type="dxa"/>
          </w:tcPr>
          <w:p>
            <w:pPr>
              <w:pStyle w:val="0"/>
              <w:jc w:val="center"/>
            </w:pPr>
            <w:r>
              <w:rPr>
                <w:sz w:val="24"/>
              </w:rPr>
              <w:t xml:space="preserve">11</w:t>
            </w:r>
          </w:p>
        </w:tc>
        <w:tc>
          <w:tcPr>
            <w:tcW w:w="737" w:type="dxa"/>
          </w:tcPr>
          <w:p>
            <w:pPr>
              <w:pStyle w:val="0"/>
              <w:jc w:val="center"/>
            </w:pPr>
            <w:r>
              <w:rPr>
                <w:sz w:val="24"/>
              </w:rPr>
              <w:t xml:space="preserve">8</w:t>
            </w:r>
          </w:p>
        </w:tc>
        <w:tc>
          <w:tcPr>
            <w:tcW w:w="1134" w:type="dxa"/>
          </w:tcPr>
          <w:p>
            <w:pPr>
              <w:pStyle w:val="0"/>
              <w:jc w:val="center"/>
            </w:pPr>
            <w:r>
              <w:rPr>
                <w:sz w:val="24"/>
              </w:rPr>
              <w:t xml:space="preserve">5</w:t>
            </w:r>
          </w:p>
        </w:tc>
        <w:tc>
          <w:tcPr>
            <w:tcW w:w="1020" w:type="dxa"/>
          </w:tcPr>
          <w:p>
            <w:pPr>
              <w:pStyle w:val="0"/>
              <w:jc w:val="center"/>
            </w:pPr>
            <w:r>
              <w:rPr>
                <w:sz w:val="24"/>
              </w:rPr>
              <w:t xml:space="preserve">3</w:t>
            </w:r>
          </w:p>
        </w:tc>
        <w:tc>
          <w:tcPr>
            <w:tcW w:w="1191" w:type="dxa"/>
          </w:tcPr>
          <w:p>
            <w:pPr>
              <w:pStyle w:val="0"/>
              <w:jc w:val="center"/>
            </w:pPr>
            <w:r>
              <w:rPr>
                <w:sz w:val="24"/>
              </w:rPr>
              <w:t xml:space="preserve">313,30</w:t>
            </w:r>
          </w:p>
        </w:tc>
        <w:tc>
          <w:tcPr>
            <w:tcW w:w="1191" w:type="dxa"/>
          </w:tcPr>
          <w:p>
            <w:pPr>
              <w:pStyle w:val="0"/>
              <w:jc w:val="center"/>
            </w:pPr>
            <w:r>
              <w:rPr>
                <w:sz w:val="24"/>
              </w:rPr>
              <w:t xml:space="preserve">192,60</w:t>
            </w:r>
          </w:p>
        </w:tc>
        <w:tc>
          <w:tcPr>
            <w:tcW w:w="1134" w:type="dxa"/>
          </w:tcPr>
          <w:p>
            <w:pPr>
              <w:pStyle w:val="0"/>
              <w:jc w:val="center"/>
            </w:pPr>
            <w:r>
              <w:rPr>
                <w:sz w:val="24"/>
              </w:rPr>
              <w:t xml:space="preserve">120,70</w:t>
            </w:r>
          </w:p>
        </w:tc>
        <w:tc>
          <w:tcPr>
            <w:tcW w:w="1701" w:type="dxa"/>
          </w:tcPr>
          <w:p>
            <w:pPr>
              <w:pStyle w:val="0"/>
              <w:jc w:val="center"/>
            </w:pPr>
            <w:r>
              <w:rPr>
                <w:sz w:val="24"/>
              </w:rPr>
              <w:t xml:space="preserve">10880708,48</w:t>
            </w:r>
          </w:p>
        </w:tc>
        <w:tc>
          <w:tcPr>
            <w:tcW w:w="1701" w:type="dxa"/>
          </w:tcPr>
          <w:p>
            <w:pPr>
              <w:pStyle w:val="0"/>
              <w:jc w:val="center"/>
            </w:pPr>
            <w:r>
              <w:rPr>
                <w:sz w:val="24"/>
              </w:rPr>
              <w:t xml:space="preserve">6434851,00</w:t>
            </w:r>
          </w:p>
        </w:tc>
        <w:tc>
          <w:tcPr>
            <w:tcW w:w="1531" w:type="dxa"/>
          </w:tcPr>
          <w:p>
            <w:pPr>
              <w:pStyle w:val="0"/>
              <w:jc w:val="center"/>
            </w:pPr>
            <w:r>
              <w:rPr>
                <w:sz w:val="24"/>
              </w:rPr>
              <w:t xml:space="preserve">3901822,06</w:t>
            </w:r>
          </w:p>
        </w:tc>
        <w:tc>
          <w:tcPr>
            <w:tcW w:w="1587" w:type="dxa"/>
          </w:tcPr>
          <w:p>
            <w:pPr>
              <w:pStyle w:val="0"/>
              <w:jc w:val="center"/>
            </w:pPr>
            <w:r>
              <w:rPr>
                <w:sz w:val="24"/>
              </w:rPr>
              <w:t xml:space="preserve">544035,42</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r>
        <w:tc>
          <w:tcPr>
            <w:tcW w:w="567" w:type="dxa"/>
          </w:tcPr>
          <w:p>
            <w:pPr>
              <w:pStyle w:val="0"/>
              <w:jc w:val="both"/>
            </w:pPr>
            <w:r>
              <w:rPr>
                <w:sz w:val="24"/>
              </w:rPr>
              <w:t xml:space="preserve">7</w:t>
            </w:r>
          </w:p>
        </w:tc>
        <w:tc>
          <w:tcPr>
            <w:tcW w:w="2324" w:type="dxa"/>
          </w:tcPr>
          <w:p>
            <w:pPr>
              <w:pStyle w:val="0"/>
              <w:jc w:val="both"/>
            </w:pPr>
            <w:r>
              <w:rPr>
                <w:sz w:val="24"/>
              </w:rPr>
              <w:t xml:space="preserve">Итого по Фурмановскому городскому поселению Фурмановского муниципального района</w:t>
            </w:r>
          </w:p>
        </w:tc>
        <w:tc>
          <w:tcPr>
            <w:tcW w:w="1134" w:type="dxa"/>
          </w:tcPr>
          <w:p>
            <w:pPr>
              <w:pStyle w:val="0"/>
              <w:jc w:val="center"/>
            </w:pPr>
            <w:r>
              <w:rPr>
                <w:sz w:val="24"/>
              </w:rPr>
              <w:t xml:space="preserve">19</w:t>
            </w:r>
          </w:p>
        </w:tc>
        <w:tc>
          <w:tcPr>
            <w:tcW w:w="737" w:type="dxa"/>
          </w:tcPr>
          <w:p>
            <w:pPr>
              <w:pStyle w:val="0"/>
              <w:jc w:val="center"/>
            </w:pPr>
            <w:r>
              <w:rPr>
                <w:sz w:val="24"/>
              </w:rPr>
              <w:t xml:space="preserve">7</w:t>
            </w:r>
          </w:p>
        </w:tc>
        <w:tc>
          <w:tcPr>
            <w:tcW w:w="1134" w:type="dxa"/>
          </w:tcPr>
          <w:p>
            <w:pPr>
              <w:pStyle w:val="0"/>
              <w:jc w:val="center"/>
            </w:pPr>
            <w:r>
              <w:rPr>
                <w:sz w:val="24"/>
              </w:rPr>
              <w:t xml:space="preserve">6</w:t>
            </w:r>
          </w:p>
        </w:tc>
        <w:tc>
          <w:tcPr>
            <w:tcW w:w="1020" w:type="dxa"/>
          </w:tcPr>
          <w:p>
            <w:pPr>
              <w:pStyle w:val="0"/>
              <w:jc w:val="center"/>
            </w:pPr>
            <w:r>
              <w:rPr>
                <w:sz w:val="24"/>
              </w:rPr>
              <w:t xml:space="preserve">1</w:t>
            </w:r>
          </w:p>
        </w:tc>
        <w:tc>
          <w:tcPr>
            <w:tcW w:w="1191" w:type="dxa"/>
          </w:tcPr>
          <w:p>
            <w:pPr>
              <w:pStyle w:val="0"/>
              <w:jc w:val="center"/>
            </w:pPr>
            <w:r>
              <w:rPr>
                <w:sz w:val="24"/>
              </w:rPr>
              <w:t xml:space="preserve">348,80</w:t>
            </w:r>
          </w:p>
        </w:tc>
        <w:tc>
          <w:tcPr>
            <w:tcW w:w="1191" w:type="dxa"/>
          </w:tcPr>
          <w:p>
            <w:pPr>
              <w:pStyle w:val="0"/>
              <w:jc w:val="center"/>
            </w:pPr>
            <w:r>
              <w:rPr>
                <w:sz w:val="24"/>
              </w:rPr>
              <w:t xml:space="preserve">327,60</w:t>
            </w:r>
          </w:p>
        </w:tc>
        <w:tc>
          <w:tcPr>
            <w:tcW w:w="1134" w:type="dxa"/>
          </w:tcPr>
          <w:p>
            <w:pPr>
              <w:pStyle w:val="0"/>
              <w:jc w:val="center"/>
            </w:pPr>
            <w:r>
              <w:rPr>
                <w:sz w:val="24"/>
              </w:rPr>
              <w:t xml:space="preserve">21,20</w:t>
            </w:r>
          </w:p>
        </w:tc>
        <w:tc>
          <w:tcPr>
            <w:tcW w:w="1701" w:type="dxa"/>
          </w:tcPr>
          <w:p>
            <w:pPr>
              <w:pStyle w:val="0"/>
              <w:jc w:val="center"/>
            </w:pPr>
            <w:r>
              <w:rPr>
                <w:sz w:val="24"/>
              </w:rPr>
              <w:t xml:space="preserve">16742400,00</w:t>
            </w:r>
          </w:p>
        </w:tc>
        <w:tc>
          <w:tcPr>
            <w:tcW w:w="1701" w:type="dxa"/>
          </w:tcPr>
          <w:p>
            <w:pPr>
              <w:pStyle w:val="0"/>
              <w:jc w:val="center"/>
            </w:pPr>
            <w:r>
              <w:rPr>
                <w:sz w:val="24"/>
              </w:rPr>
              <w:t xml:space="preserve">9901455,36</w:t>
            </w:r>
          </w:p>
        </w:tc>
        <w:tc>
          <w:tcPr>
            <w:tcW w:w="1531" w:type="dxa"/>
          </w:tcPr>
          <w:p>
            <w:pPr>
              <w:pStyle w:val="0"/>
              <w:jc w:val="center"/>
            </w:pPr>
            <w:r>
              <w:rPr>
                <w:sz w:val="24"/>
              </w:rPr>
              <w:t xml:space="preserve">6003824,64</w:t>
            </w:r>
          </w:p>
        </w:tc>
        <w:tc>
          <w:tcPr>
            <w:tcW w:w="1587" w:type="dxa"/>
          </w:tcPr>
          <w:p>
            <w:pPr>
              <w:pStyle w:val="0"/>
              <w:jc w:val="center"/>
            </w:pPr>
            <w:r>
              <w:rPr>
                <w:sz w:val="24"/>
              </w:rPr>
              <w:t xml:space="preserve">837120,00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1474" w:type="dxa"/>
          </w:tcPr>
          <w:p>
            <w:pPr>
              <w:pStyle w:val="0"/>
              <w:jc w:val="center"/>
            </w:pPr>
            <w:r>
              <w:rPr>
                <w:sz w:val="24"/>
              </w:rPr>
              <w:t xml:space="preserve">0,00</w:t>
            </w:r>
          </w:p>
        </w:tc>
        <w:tc>
          <w:tcPr>
            <w:tcW w:w="964" w:type="dxa"/>
          </w:tcPr>
          <w:p>
            <w:pPr>
              <w:pStyle w:val="0"/>
              <w:jc w:val="center"/>
            </w:pPr>
            <w:r>
              <w:rPr>
                <w:sz w:val="24"/>
              </w:rPr>
              <w:t xml:space="preserve">0,00</w:t>
            </w:r>
          </w:p>
        </w:tc>
        <w:tc>
          <w:tcPr>
            <w:tcW w:w="1417" w:type="dxa"/>
          </w:tcPr>
          <w:p>
            <w:pPr>
              <w:pStyle w:val="0"/>
              <w:jc w:val="center"/>
            </w:pPr>
            <w:r>
              <w:rPr>
                <w:sz w:val="24"/>
              </w:rPr>
              <w:t xml:space="preserve">0,00</w:t>
            </w:r>
          </w:p>
        </w:tc>
        <w:tc>
          <w:tcPr>
            <w:tcW w:w="1247" w:type="dxa"/>
          </w:tcPr>
          <w:p>
            <w:pPr>
              <w:pStyle w:val="0"/>
              <w:jc w:val="center"/>
            </w:pPr>
            <w:r>
              <w:rPr>
                <w:sz w:val="24"/>
              </w:rPr>
              <w:t xml:space="preserve">0,00</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Программе</w:t>
      </w:r>
    </w:p>
    <w:p>
      <w:pPr>
        <w:pStyle w:val="0"/>
      </w:pPr>
      <w:r>
        <w:rPr>
          <w:sz w:val="24"/>
        </w:rPr>
      </w:r>
    </w:p>
    <w:bookmarkStart w:id="1956" w:name="P1956"/>
    <w:bookmarkEnd w:id="1956"/>
    <w:p>
      <w:pPr>
        <w:pStyle w:val="2"/>
        <w:jc w:val="center"/>
      </w:pPr>
      <w:r>
        <w:rPr>
          <w:sz w:val="24"/>
        </w:rPr>
        <w:t xml:space="preserve">Планируемые показатели реализации</w:t>
      </w:r>
    </w:p>
    <w:p>
      <w:pPr>
        <w:pStyle w:val="2"/>
        <w:jc w:val="center"/>
      </w:pPr>
      <w:r>
        <w:rPr>
          <w:sz w:val="24"/>
        </w:rPr>
        <w:t xml:space="preserve">региональной адресной программы по переселению граждан</w:t>
      </w:r>
    </w:p>
    <w:p>
      <w:pPr>
        <w:pStyle w:val="2"/>
        <w:jc w:val="center"/>
      </w:pPr>
      <w:r>
        <w:rPr>
          <w:sz w:val="24"/>
        </w:rPr>
        <w:t xml:space="preserve">из аварийного жилищного фонда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2" w:tooltip="Постановление Правительства Ивановской области от 22.05.2026 N 204-п &quot;О внесении изменений в постановление Правительства Ивановской области от 03.06.2024 N 232-п &quot;Об утверждении региональной адресной программы &quot;Переселение граждан из аварийного жилищного фонда на территории Ивановской области на 2024 - 2030 годы&quot; (вместе с &quot;Реестром жилищного фонда (многоквартирные дома, дома блокированной застройки, объекты индивидуального жилищного строительства)&quot;, &quot;Планом реализации мероприятий по переселению граждан из  {КонсультантПлюс}">
              <w:r>
                <w:rPr>
                  <w:sz w:val="24"/>
                  <w:color w:val="0000ff"/>
                </w:rPr>
                <w:t xml:space="preserve">Постановления</w:t>
              </w:r>
            </w:hyperlink>
            <w:r>
              <w:rPr>
                <w:sz w:val="24"/>
                <w:color w:val="392c69"/>
              </w:rPr>
              <w:t xml:space="preserve"> Правительства Ивановской области</w:t>
            </w:r>
          </w:p>
          <w:p>
            <w:pPr>
              <w:pStyle w:val="0"/>
              <w:jc w:val="center"/>
            </w:pPr>
            <w:r>
              <w:rPr>
                <w:sz w:val="24"/>
                <w:color w:val="392c69"/>
              </w:rPr>
              <w:t xml:space="preserve">от 22.05.2026 N 204-п)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5"/>
        <w:gridCol w:w="3742"/>
        <w:gridCol w:w="1164"/>
        <w:gridCol w:w="1164"/>
        <w:gridCol w:w="1165"/>
        <w:gridCol w:w="1134"/>
        <w:gridCol w:w="1008"/>
        <w:gridCol w:w="1008"/>
        <w:gridCol w:w="1008"/>
        <w:gridCol w:w="1011"/>
      </w:tblGrid>
      <w:tr>
        <w:tc>
          <w:tcPr>
            <w:tcW w:w="585" w:type="dxa"/>
            <w:vMerge w:val="restart"/>
          </w:tcPr>
          <w:p>
            <w:pPr>
              <w:pStyle w:val="0"/>
              <w:jc w:val="center"/>
            </w:pPr>
            <w:r>
              <w:rPr>
                <w:sz w:val="24"/>
              </w:rPr>
              <w:t xml:space="preserve">N п/п</w:t>
            </w:r>
          </w:p>
        </w:tc>
        <w:tc>
          <w:tcPr>
            <w:tcW w:w="3742" w:type="dxa"/>
            <w:vMerge w:val="restart"/>
          </w:tcPr>
          <w:p>
            <w:pPr>
              <w:pStyle w:val="0"/>
              <w:jc w:val="center"/>
            </w:pPr>
            <w:r>
              <w:rPr>
                <w:sz w:val="24"/>
              </w:rPr>
              <w:t xml:space="preserve">Наименование муниципального образования Ивановской области</w:t>
            </w:r>
          </w:p>
        </w:tc>
        <w:tc>
          <w:tcPr>
            <w:gridSpan w:val="4"/>
            <w:tcW w:w="4627" w:type="dxa"/>
          </w:tcPr>
          <w:p>
            <w:pPr>
              <w:pStyle w:val="0"/>
              <w:jc w:val="center"/>
            </w:pPr>
            <w:r>
              <w:rPr>
                <w:sz w:val="24"/>
              </w:rPr>
              <w:t xml:space="preserve">Расселяемая площадь</w:t>
            </w:r>
          </w:p>
        </w:tc>
        <w:tc>
          <w:tcPr>
            <w:gridSpan w:val="4"/>
            <w:tcW w:w="4035" w:type="dxa"/>
          </w:tcPr>
          <w:p>
            <w:pPr>
              <w:pStyle w:val="0"/>
              <w:jc w:val="center"/>
            </w:pPr>
            <w:r>
              <w:rPr>
                <w:sz w:val="24"/>
              </w:rPr>
              <w:t xml:space="preserve">Количество переселяемых жителей</w:t>
            </w:r>
          </w:p>
        </w:tc>
      </w:tr>
      <w:tr>
        <w:tc>
          <w:tcPr>
            <w:vMerge w:val="continue"/>
          </w:tcPr>
          <w:p/>
        </w:tc>
        <w:tc>
          <w:tcPr>
            <w:vMerge w:val="continue"/>
          </w:tcPr>
          <w:p/>
        </w:tc>
        <w:tc>
          <w:tcPr>
            <w:tcW w:w="1164" w:type="dxa"/>
          </w:tcPr>
          <w:p>
            <w:pPr>
              <w:pStyle w:val="0"/>
              <w:jc w:val="center"/>
            </w:pPr>
            <w:r>
              <w:rPr>
                <w:sz w:val="24"/>
              </w:rPr>
              <w:t xml:space="preserve">2024 г.</w:t>
            </w:r>
          </w:p>
        </w:tc>
        <w:tc>
          <w:tcPr>
            <w:tcW w:w="1164" w:type="dxa"/>
          </w:tcPr>
          <w:p>
            <w:pPr>
              <w:pStyle w:val="0"/>
              <w:jc w:val="center"/>
            </w:pPr>
            <w:r>
              <w:rPr>
                <w:sz w:val="24"/>
              </w:rPr>
              <w:t xml:space="preserve">2025 г.</w:t>
            </w:r>
          </w:p>
        </w:tc>
        <w:tc>
          <w:tcPr>
            <w:tcW w:w="1165" w:type="dxa"/>
          </w:tcPr>
          <w:p>
            <w:pPr>
              <w:pStyle w:val="0"/>
              <w:jc w:val="center"/>
            </w:pPr>
            <w:r>
              <w:rPr>
                <w:sz w:val="24"/>
              </w:rPr>
              <w:t xml:space="preserve">2026 г.</w:t>
            </w:r>
          </w:p>
        </w:tc>
        <w:tc>
          <w:tcPr>
            <w:tcW w:w="1134" w:type="dxa"/>
          </w:tcPr>
          <w:p>
            <w:pPr>
              <w:pStyle w:val="0"/>
              <w:jc w:val="center"/>
            </w:pPr>
            <w:r>
              <w:rPr>
                <w:sz w:val="24"/>
              </w:rPr>
              <w:t xml:space="preserve">всего</w:t>
            </w:r>
          </w:p>
        </w:tc>
        <w:tc>
          <w:tcPr>
            <w:tcW w:w="1008" w:type="dxa"/>
          </w:tcPr>
          <w:p>
            <w:pPr>
              <w:pStyle w:val="0"/>
              <w:jc w:val="center"/>
            </w:pPr>
            <w:r>
              <w:rPr>
                <w:sz w:val="24"/>
              </w:rPr>
              <w:t xml:space="preserve">2024 г.</w:t>
            </w:r>
          </w:p>
        </w:tc>
        <w:tc>
          <w:tcPr>
            <w:tcW w:w="1008" w:type="dxa"/>
          </w:tcPr>
          <w:p>
            <w:pPr>
              <w:pStyle w:val="0"/>
              <w:jc w:val="center"/>
            </w:pPr>
            <w:r>
              <w:rPr>
                <w:sz w:val="24"/>
              </w:rPr>
              <w:t xml:space="preserve">2025 г.</w:t>
            </w:r>
          </w:p>
        </w:tc>
        <w:tc>
          <w:tcPr>
            <w:tcW w:w="1008" w:type="dxa"/>
          </w:tcPr>
          <w:p>
            <w:pPr>
              <w:pStyle w:val="0"/>
              <w:jc w:val="center"/>
            </w:pPr>
            <w:r>
              <w:rPr>
                <w:sz w:val="24"/>
              </w:rPr>
              <w:t xml:space="preserve">2026 г.</w:t>
            </w:r>
          </w:p>
        </w:tc>
        <w:tc>
          <w:tcPr>
            <w:tcW w:w="1011" w:type="dxa"/>
          </w:tcPr>
          <w:p>
            <w:pPr>
              <w:pStyle w:val="0"/>
              <w:jc w:val="center"/>
            </w:pPr>
            <w:r>
              <w:rPr>
                <w:sz w:val="24"/>
              </w:rPr>
              <w:t xml:space="preserve">всего</w:t>
            </w:r>
          </w:p>
        </w:tc>
      </w:tr>
      <w:tr>
        <w:tc>
          <w:tcPr>
            <w:vMerge w:val="continue"/>
          </w:tcPr>
          <w:p/>
        </w:tc>
        <w:tc>
          <w:tcPr>
            <w:vMerge w:val="continue"/>
          </w:tcPr>
          <w:p/>
        </w:tc>
        <w:tc>
          <w:tcPr>
            <w:tcW w:w="1164" w:type="dxa"/>
          </w:tcPr>
          <w:p>
            <w:pPr>
              <w:pStyle w:val="0"/>
              <w:jc w:val="center"/>
            </w:pPr>
            <w:r>
              <w:rPr>
                <w:sz w:val="24"/>
              </w:rPr>
              <w:t xml:space="preserve">кв. м</w:t>
            </w:r>
          </w:p>
        </w:tc>
        <w:tc>
          <w:tcPr>
            <w:tcW w:w="1164" w:type="dxa"/>
          </w:tcPr>
          <w:p>
            <w:pPr>
              <w:pStyle w:val="0"/>
              <w:jc w:val="center"/>
            </w:pPr>
            <w:r>
              <w:rPr>
                <w:sz w:val="24"/>
              </w:rPr>
              <w:t xml:space="preserve">кв. м</w:t>
            </w:r>
          </w:p>
        </w:tc>
        <w:tc>
          <w:tcPr>
            <w:tcW w:w="1165" w:type="dxa"/>
          </w:tcPr>
          <w:p>
            <w:pPr>
              <w:pStyle w:val="0"/>
              <w:jc w:val="center"/>
            </w:pPr>
            <w:r>
              <w:rPr>
                <w:sz w:val="24"/>
              </w:rPr>
              <w:t xml:space="preserve">кв. м</w:t>
            </w:r>
          </w:p>
        </w:tc>
        <w:tc>
          <w:tcPr>
            <w:tcW w:w="1134" w:type="dxa"/>
          </w:tcPr>
          <w:p>
            <w:pPr>
              <w:pStyle w:val="0"/>
              <w:jc w:val="center"/>
            </w:pPr>
            <w:r>
              <w:rPr>
                <w:sz w:val="24"/>
              </w:rPr>
              <w:t xml:space="preserve">кв. м</w:t>
            </w:r>
          </w:p>
        </w:tc>
        <w:tc>
          <w:tcPr>
            <w:tcW w:w="1008" w:type="dxa"/>
          </w:tcPr>
          <w:p>
            <w:pPr>
              <w:pStyle w:val="0"/>
              <w:jc w:val="center"/>
            </w:pPr>
            <w:r>
              <w:rPr>
                <w:sz w:val="24"/>
              </w:rPr>
              <w:t xml:space="preserve">чел.</w:t>
            </w:r>
          </w:p>
        </w:tc>
        <w:tc>
          <w:tcPr>
            <w:tcW w:w="1008" w:type="dxa"/>
          </w:tcPr>
          <w:p>
            <w:pPr>
              <w:pStyle w:val="0"/>
              <w:jc w:val="center"/>
            </w:pPr>
            <w:r>
              <w:rPr>
                <w:sz w:val="24"/>
              </w:rPr>
              <w:t xml:space="preserve">чел.</w:t>
            </w:r>
          </w:p>
        </w:tc>
        <w:tc>
          <w:tcPr>
            <w:tcW w:w="1008" w:type="dxa"/>
          </w:tcPr>
          <w:p>
            <w:pPr>
              <w:pStyle w:val="0"/>
              <w:jc w:val="center"/>
            </w:pPr>
            <w:r>
              <w:rPr>
                <w:sz w:val="24"/>
              </w:rPr>
              <w:t xml:space="preserve">чел.</w:t>
            </w:r>
          </w:p>
        </w:tc>
        <w:tc>
          <w:tcPr>
            <w:tcW w:w="1011" w:type="dxa"/>
          </w:tcPr>
          <w:p>
            <w:pPr>
              <w:pStyle w:val="0"/>
              <w:jc w:val="center"/>
            </w:pPr>
            <w:r>
              <w:rPr>
                <w:sz w:val="24"/>
              </w:rPr>
              <w:t xml:space="preserve">чел.</w:t>
            </w:r>
          </w:p>
        </w:tc>
      </w:tr>
      <w:tr>
        <w:tc>
          <w:tcPr>
            <w:tcW w:w="585" w:type="dxa"/>
          </w:tcPr>
          <w:p>
            <w:pPr>
              <w:pStyle w:val="0"/>
              <w:jc w:val="center"/>
            </w:pPr>
            <w:r>
              <w:rPr>
                <w:sz w:val="24"/>
              </w:rPr>
              <w:t xml:space="preserve">1</w:t>
            </w:r>
          </w:p>
        </w:tc>
        <w:tc>
          <w:tcPr>
            <w:tcW w:w="3742" w:type="dxa"/>
          </w:tcPr>
          <w:p>
            <w:pPr>
              <w:pStyle w:val="0"/>
              <w:jc w:val="center"/>
            </w:pPr>
            <w:r>
              <w:rPr>
                <w:sz w:val="24"/>
              </w:rPr>
              <w:t xml:space="preserve">2</w:t>
            </w:r>
          </w:p>
        </w:tc>
        <w:tc>
          <w:tcPr>
            <w:tcW w:w="1164" w:type="dxa"/>
          </w:tcPr>
          <w:p>
            <w:pPr>
              <w:pStyle w:val="0"/>
              <w:jc w:val="center"/>
            </w:pPr>
            <w:r>
              <w:rPr>
                <w:sz w:val="24"/>
              </w:rPr>
              <w:t xml:space="preserve">3</w:t>
            </w:r>
          </w:p>
        </w:tc>
        <w:tc>
          <w:tcPr>
            <w:tcW w:w="1164" w:type="dxa"/>
          </w:tcPr>
          <w:p>
            <w:pPr>
              <w:pStyle w:val="0"/>
              <w:jc w:val="center"/>
            </w:pPr>
            <w:r>
              <w:rPr>
                <w:sz w:val="24"/>
              </w:rPr>
              <w:t xml:space="preserve">4</w:t>
            </w:r>
          </w:p>
        </w:tc>
        <w:tc>
          <w:tcPr>
            <w:tcW w:w="1165" w:type="dxa"/>
          </w:tcPr>
          <w:p>
            <w:pPr>
              <w:pStyle w:val="0"/>
              <w:jc w:val="center"/>
            </w:pPr>
            <w:r>
              <w:rPr>
                <w:sz w:val="24"/>
              </w:rPr>
              <w:t xml:space="preserve">5</w:t>
            </w:r>
          </w:p>
        </w:tc>
        <w:tc>
          <w:tcPr>
            <w:tcW w:w="1134" w:type="dxa"/>
          </w:tcPr>
          <w:p>
            <w:pPr>
              <w:pStyle w:val="0"/>
              <w:jc w:val="center"/>
            </w:pPr>
            <w:r>
              <w:rPr>
                <w:sz w:val="24"/>
              </w:rPr>
              <w:t xml:space="preserve">6</w:t>
            </w:r>
          </w:p>
        </w:tc>
        <w:tc>
          <w:tcPr>
            <w:tcW w:w="1008" w:type="dxa"/>
          </w:tcPr>
          <w:p>
            <w:pPr>
              <w:pStyle w:val="0"/>
              <w:jc w:val="center"/>
            </w:pPr>
            <w:r>
              <w:rPr>
                <w:sz w:val="24"/>
              </w:rPr>
              <w:t xml:space="preserve">7</w:t>
            </w:r>
          </w:p>
        </w:tc>
        <w:tc>
          <w:tcPr>
            <w:tcW w:w="1008" w:type="dxa"/>
          </w:tcPr>
          <w:p>
            <w:pPr>
              <w:pStyle w:val="0"/>
              <w:jc w:val="center"/>
            </w:pPr>
            <w:r>
              <w:rPr>
                <w:sz w:val="24"/>
              </w:rPr>
              <w:t xml:space="preserve">8</w:t>
            </w:r>
          </w:p>
        </w:tc>
        <w:tc>
          <w:tcPr>
            <w:tcW w:w="1008" w:type="dxa"/>
          </w:tcPr>
          <w:p>
            <w:pPr>
              <w:pStyle w:val="0"/>
              <w:jc w:val="center"/>
            </w:pPr>
            <w:r>
              <w:rPr>
                <w:sz w:val="24"/>
              </w:rPr>
              <w:t xml:space="preserve">9</w:t>
            </w:r>
          </w:p>
        </w:tc>
        <w:tc>
          <w:tcPr>
            <w:tcW w:w="1011" w:type="dxa"/>
          </w:tcPr>
          <w:p>
            <w:pPr>
              <w:pStyle w:val="0"/>
              <w:jc w:val="center"/>
            </w:pPr>
            <w:r>
              <w:rPr>
                <w:sz w:val="24"/>
              </w:rPr>
              <w:t xml:space="preserve">10</w:t>
            </w:r>
          </w:p>
        </w:tc>
      </w:tr>
      <w:tr>
        <w:tc>
          <w:tcPr>
            <w:gridSpan w:val="2"/>
            <w:tcW w:w="4327" w:type="dxa"/>
          </w:tcPr>
          <w:p>
            <w:pPr>
              <w:pStyle w:val="0"/>
              <w:jc w:val="both"/>
            </w:pPr>
            <w:r>
              <w:rPr>
                <w:sz w:val="24"/>
              </w:rPr>
              <w:t xml:space="preserve">В части, предусматривающей финансирование за счет средств Фонда, в т.ч.:</w:t>
            </w:r>
          </w:p>
        </w:tc>
        <w:tc>
          <w:tcPr>
            <w:tcW w:w="1164" w:type="dxa"/>
          </w:tcPr>
          <w:p>
            <w:pPr>
              <w:pStyle w:val="0"/>
              <w:jc w:val="center"/>
            </w:pPr>
            <w:r>
              <w:rPr>
                <w:sz w:val="24"/>
              </w:rPr>
              <w:t xml:space="preserve">1008,30</w:t>
            </w:r>
          </w:p>
        </w:tc>
        <w:tc>
          <w:tcPr>
            <w:tcW w:w="1164" w:type="dxa"/>
          </w:tcPr>
          <w:p>
            <w:pPr>
              <w:pStyle w:val="0"/>
              <w:jc w:val="center"/>
            </w:pPr>
            <w:r>
              <w:rPr>
                <w:sz w:val="24"/>
              </w:rPr>
              <w:t xml:space="preserve">4075,80</w:t>
            </w:r>
          </w:p>
        </w:tc>
        <w:tc>
          <w:tcPr>
            <w:tcW w:w="1165" w:type="dxa"/>
          </w:tcPr>
          <w:p>
            <w:pPr>
              <w:pStyle w:val="0"/>
              <w:jc w:val="center"/>
            </w:pPr>
            <w:r>
              <w:rPr>
                <w:sz w:val="24"/>
              </w:rPr>
              <w:t xml:space="preserve">4752,66</w:t>
            </w:r>
          </w:p>
        </w:tc>
        <w:tc>
          <w:tcPr>
            <w:tcW w:w="1134" w:type="dxa"/>
          </w:tcPr>
          <w:p>
            <w:pPr>
              <w:pStyle w:val="0"/>
              <w:jc w:val="center"/>
            </w:pPr>
            <w:r>
              <w:rPr>
                <w:sz w:val="24"/>
              </w:rPr>
              <w:t xml:space="preserve">9836,76</w:t>
            </w:r>
          </w:p>
        </w:tc>
        <w:tc>
          <w:tcPr>
            <w:tcW w:w="1008" w:type="dxa"/>
          </w:tcPr>
          <w:p>
            <w:pPr>
              <w:pStyle w:val="0"/>
              <w:jc w:val="center"/>
            </w:pPr>
            <w:r>
              <w:rPr>
                <w:sz w:val="24"/>
              </w:rPr>
              <w:t xml:space="preserve">59</w:t>
            </w:r>
          </w:p>
        </w:tc>
        <w:tc>
          <w:tcPr>
            <w:tcW w:w="1008" w:type="dxa"/>
          </w:tcPr>
          <w:p>
            <w:pPr>
              <w:pStyle w:val="0"/>
              <w:jc w:val="center"/>
            </w:pPr>
            <w:r>
              <w:rPr>
                <w:sz w:val="24"/>
              </w:rPr>
              <w:t xml:space="preserve">252</w:t>
            </w:r>
          </w:p>
        </w:tc>
        <w:tc>
          <w:tcPr>
            <w:tcW w:w="1008" w:type="dxa"/>
          </w:tcPr>
          <w:p>
            <w:pPr>
              <w:pStyle w:val="0"/>
              <w:jc w:val="center"/>
            </w:pPr>
            <w:r>
              <w:rPr>
                <w:sz w:val="24"/>
              </w:rPr>
              <w:t xml:space="preserve">272</w:t>
            </w:r>
          </w:p>
        </w:tc>
        <w:tc>
          <w:tcPr>
            <w:tcW w:w="1011" w:type="dxa"/>
          </w:tcPr>
          <w:p>
            <w:pPr>
              <w:pStyle w:val="0"/>
              <w:jc w:val="center"/>
            </w:pPr>
            <w:r>
              <w:rPr>
                <w:sz w:val="24"/>
              </w:rPr>
              <w:t xml:space="preserve">583</w:t>
            </w:r>
          </w:p>
        </w:tc>
      </w:tr>
      <w:tr>
        <w:tc>
          <w:tcPr>
            <w:gridSpan w:val="2"/>
            <w:tcW w:w="4327" w:type="dxa"/>
          </w:tcPr>
          <w:p>
            <w:pPr>
              <w:pStyle w:val="0"/>
              <w:jc w:val="both"/>
            </w:pPr>
            <w:r>
              <w:rPr>
                <w:sz w:val="24"/>
              </w:rPr>
              <w:t xml:space="preserve">Всего по этапу 2024 года</w:t>
            </w:r>
          </w:p>
        </w:tc>
        <w:tc>
          <w:tcPr>
            <w:tcW w:w="1164" w:type="dxa"/>
          </w:tcPr>
          <w:p>
            <w:pPr>
              <w:pStyle w:val="0"/>
              <w:jc w:val="center"/>
            </w:pPr>
            <w:r>
              <w:rPr>
                <w:sz w:val="24"/>
              </w:rPr>
              <w:t xml:space="preserve">1008,30</w:t>
            </w:r>
          </w:p>
        </w:tc>
        <w:tc>
          <w:tcPr>
            <w:tcW w:w="1164" w:type="dxa"/>
          </w:tcPr>
          <w:p>
            <w:pPr>
              <w:pStyle w:val="0"/>
              <w:jc w:val="center"/>
            </w:pPr>
            <w:r>
              <w:rPr>
                <w:sz w:val="24"/>
              </w:rPr>
              <w:t xml:space="preserve">0,00</w:t>
            </w:r>
          </w:p>
        </w:tc>
        <w:tc>
          <w:tcPr>
            <w:tcW w:w="1165" w:type="dxa"/>
          </w:tcPr>
          <w:p>
            <w:pPr>
              <w:pStyle w:val="0"/>
              <w:jc w:val="center"/>
            </w:pPr>
            <w:r>
              <w:rPr>
                <w:sz w:val="24"/>
              </w:rPr>
              <w:t xml:space="preserve">x</w:t>
            </w:r>
          </w:p>
        </w:tc>
        <w:tc>
          <w:tcPr>
            <w:tcW w:w="1134" w:type="dxa"/>
          </w:tcPr>
          <w:p>
            <w:pPr>
              <w:pStyle w:val="0"/>
              <w:jc w:val="center"/>
            </w:pPr>
            <w:r>
              <w:rPr>
                <w:sz w:val="24"/>
              </w:rPr>
              <w:t xml:space="preserve">1008,30</w:t>
            </w:r>
          </w:p>
        </w:tc>
        <w:tc>
          <w:tcPr>
            <w:tcW w:w="1008" w:type="dxa"/>
          </w:tcPr>
          <w:p>
            <w:pPr>
              <w:pStyle w:val="0"/>
              <w:jc w:val="center"/>
            </w:pPr>
            <w:r>
              <w:rPr>
                <w:sz w:val="24"/>
              </w:rPr>
              <w:t xml:space="preserve">59</w:t>
            </w:r>
          </w:p>
        </w:tc>
        <w:tc>
          <w:tcPr>
            <w:tcW w:w="1008" w:type="dxa"/>
          </w:tcPr>
          <w:p>
            <w:pPr>
              <w:pStyle w:val="0"/>
              <w:jc w:val="center"/>
            </w:pPr>
            <w:r>
              <w:rPr>
                <w:sz w:val="24"/>
              </w:rPr>
              <w:t xml:space="preserve">0</w:t>
            </w:r>
          </w:p>
        </w:tc>
        <w:tc>
          <w:tcPr>
            <w:tcW w:w="1008" w:type="dxa"/>
          </w:tcPr>
          <w:p>
            <w:pPr>
              <w:pStyle w:val="0"/>
              <w:jc w:val="center"/>
            </w:pPr>
            <w:r>
              <w:rPr>
                <w:sz w:val="24"/>
              </w:rPr>
              <w:t xml:space="preserve">x</w:t>
            </w:r>
          </w:p>
        </w:tc>
        <w:tc>
          <w:tcPr>
            <w:tcW w:w="1011" w:type="dxa"/>
          </w:tcPr>
          <w:p>
            <w:pPr>
              <w:pStyle w:val="0"/>
              <w:jc w:val="center"/>
            </w:pPr>
            <w:r>
              <w:rPr>
                <w:sz w:val="24"/>
              </w:rPr>
              <w:t xml:space="preserve">59</w:t>
            </w:r>
          </w:p>
        </w:tc>
      </w:tr>
      <w:tr>
        <w:tc>
          <w:tcPr>
            <w:tcW w:w="585" w:type="dxa"/>
          </w:tcPr>
          <w:p>
            <w:pPr>
              <w:pStyle w:val="0"/>
              <w:jc w:val="both"/>
            </w:pPr>
            <w:r>
              <w:rPr>
                <w:sz w:val="24"/>
              </w:rPr>
              <w:t xml:space="preserve">1</w:t>
            </w:r>
          </w:p>
        </w:tc>
        <w:tc>
          <w:tcPr>
            <w:tcW w:w="3742" w:type="dxa"/>
          </w:tcPr>
          <w:p>
            <w:pPr>
              <w:pStyle w:val="0"/>
              <w:jc w:val="both"/>
            </w:pPr>
            <w:r>
              <w:rPr>
                <w:sz w:val="24"/>
              </w:rPr>
              <w:t xml:space="preserve">Итого по городскому округу Иваново</w:t>
            </w:r>
          </w:p>
        </w:tc>
        <w:tc>
          <w:tcPr>
            <w:tcW w:w="1164" w:type="dxa"/>
          </w:tcPr>
          <w:p>
            <w:pPr>
              <w:pStyle w:val="0"/>
              <w:jc w:val="center"/>
            </w:pPr>
            <w:r>
              <w:rPr>
                <w:sz w:val="24"/>
              </w:rPr>
              <w:t xml:space="preserve">475,70</w:t>
            </w:r>
          </w:p>
        </w:tc>
        <w:tc>
          <w:tcPr>
            <w:tcW w:w="1164" w:type="dxa"/>
          </w:tcPr>
          <w:p>
            <w:pPr>
              <w:pStyle w:val="0"/>
              <w:jc w:val="center"/>
            </w:pPr>
            <w:r>
              <w:rPr>
                <w:sz w:val="24"/>
              </w:rPr>
              <w:t xml:space="preserve">0,00</w:t>
            </w:r>
          </w:p>
        </w:tc>
        <w:tc>
          <w:tcPr>
            <w:tcW w:w="1165" w:type="dxa"/>
          </w:tcPr>
          <w:p>
            <w:pPr>
              <w:pStyle w:val="0"/>
              <w:jc w:val="center"/>
            </w:pPr>
            <w:r>
              <w:rPr>
                <w:sz w:val="24"/>
              </w:rPr>
              <w:t xml:space="preserve">x</w:t>
            </w:r>
          </w:p>
        </w:tc>
        <w:tc>
          <w:tcPr>
            <w:tcW w:w="1134" w:type="dxa"/>
          </w:tcPr>
          <w:p>
            <w:pPr>
              <w:pStyle w:val="0"/>
              <w:jc w:val="center"/>
            </w:pPr>
            <w:r>
              <w:rPr>
                <w:sz w:val="24"/>
              </w:rPr>
              <w:t xml:space="preserve">475,70</w:t>
            </w:r>
          </w:p>
        </w:tc>
        <w:tc>
          <w:tcPr>
            <w:tcW w:w="1008" w:type="dxa"/>
          </w:tcPr>
          <w:p>
            <w:pPr>
              <w:pStyle w:val="0"/>
              <w:jc w:val="center"/>
            </w:pPr>
            <w:r>
              <w:rPr>
                <w:sz w:val="24"/>
              </w:rPr>
              <w:t xml:space="preserve">25</w:t>
            </w:r>
          </w:p>
        </w:tc>
        <w:tc>
          <w:tcPr>
            <w:tcW w:w="1008" w:type="dxa"/>
          </w:tcPr>
          <w:p>
            <w:pPr>
              <w:pStyle w:val="0"/>
              <w:jc w:val="center"/>
            </w:pPr>
            <w:r>
              <w:rPr>
                <w:sz w:val="24"/>
              </w:rPr>
              <w:t xml:space="preserve">0</w:t>
            </w:r>
          </w:p>
        </w:tc>
        <w:tc>
          <w:tcPr>
            <w:tcW w:w="1008" w:type="dxa"/>
          </w:tcPr>
          <w:p>
            <w:pPr>
              <w:pStyle w:val="0"/>
              <w:jc w:val="center"/>
            </w:pPr>
            <w:r>
              <w:rPr>
                <w:sz w:val="24"/>
              </w:rPr>
              <w:t xml:space="preserve">x</w:t>
            </w:r>
          </w:p>
        </w:tc>
        <w:tc>
          <w:tcPr>
            <w:tcW w:w="1011" w:type="dxa"/>
          </w:tcPr>
          <w:p>
            <w:pPr>
              <w:pStyle w:val="0"/>
              <w:jc w:val="center"/>
            </w:pPr>
            <w:r>
              <w:rPr>
                <w:sz w:val="24"/>
              </w:rPr>
              <w:t xml:space="preserve">25</w:t>
            </w:r>
          </w:p>
        </w:tc>
      </w:tr>
      <w:tr>
        <w:tc>
          <w:tcPr>
            <w:tcW w:w="585" w:type="dxa"/>
          </w:tcPr>
          <w:p>
            <w:pPr>
              <w:pStyle w:val="0"/>
              <w:jc w:val="both"/>
            </w:pPr>
            <w:r>
              <w:rPr>
                <w:sz w:val="24"/>
              </w:rPr>
              <w:t xml:space="preserve">2</w:t>
            </w:r>
          </w:p>
        </w:tc>
        <w:tc>
          <w:tcPr>
            <w:tcW w:w="3742" w:type="dxa"/>
          </w:tcPr>
          <w:p>
            <w:pPr>
              <w:pStyle w:val="0"/>
              <w:jc w:val="both"/>
            </w:pPr>
            <w:r>
              <w:rPr>
                <w:sz w:val="24"/>
              </w:rPr>
              <w:t xml:space="preserve">Итого по городскому округу Кинешма</w:t>
            </w:r>
          </w:p>
        </w:tc>
        <w:tc>
          <w:tcPr>
            <w:tcW w:w="1164" w:type="dxa"/>
          </w:tcPr>
          <w:p>
            <w:pPr>
              <w:pStyle w:val="0"/>
              <w:jc w:val="center"/>
            </w:pPr>
            <w:r>
              <w:rPr>
                <w:sz w:val="24"/>
              </w:rPr>
              <w:t xml:space="preserve">532,60</w:t>
            </w:r>
          </w:p>
        </w:tc>
        <w:tc>
          <w:tcPr>
            <w:tcW w:w="1164" w:type="dxa"/>
          </w:tcPr>
          <w:p>
            <w:pPr>
              <w:pStyle w:val="0"/>
              <w:jc w:val="center"/>
            </w:pPr>
            <w:r>
              <w:rPr>
                <w:sz w:val="24"/>
              </w:rPr>
              <w:t xml:space="preserve">0,00</w:t>
            </w:r>
          </w:p>
        </w:tc>
        <w:tc>
          <w:tcPr>
            <w:tcW w:w="1165" w:type="dxa"/>
          </w:tcPr>
          <w:p>
            <w:pPr>
              <w:pStyle w:val="0"/>
              <w:jc w:val="center"/>
            </w:pPr>
            <w:r>
              <w:rPr>
                <w:sz w:val="24"/>
              </w:rPr>
              <w:t xml:space="preserve">x</w:t>
            </w:r>
          </w:p>
        </w:tc>
        <w:tc>
          <w:tcPr>
            <w:tcW w:w="1134" w:type="dxa"/>
          </w:tcPr>
          <w:p>
            <w:pPr>
              <w:pStyle w:val="0"/>
              <w:jc w:val="center"/>
            </w:pPr>
            <w:r>
              <w:rPr>
                <w:sz w:val="24"/>
              </w:rPr>
              <w:t xml:space="preserve">532,60</w:t>
            </w:r>
          </w:p>
        </w:tc>
        <w:tc>
          <w:tcPr>
            <w:tcW w:w="1008" w:type="dxa"/>
          </w:tcPr>
          <w:p>
            <w:pPr>
              <w:pStyle w:val="0"/>
              <w:jc w:val="center"/>
            </w:pPr>
            <w:r>
              <w:rPr>
                <w:sz w:val="24"/>
              </w:rPr>
              <w:t xml:space="preserve">34</w:t>
            </w:r>
          </w:p>
        </w:tc>
        <w:tc>
          <w:tcPr>
            <w:tcW w:w="1008" w:type="dxa"/>
          </w:tcPr>
          <w:p>
            <w:pPr>
              <w:pStyle w:val="0"/>
              <w:jc w:val="center"/>
            </w:pPr>
            <w:r>
              <w:rPr>
                <w:sz w:val="24"/>
              </w:rPr>
              <w:t xml:space="preserve">0</w:t>
            </w:r>
          </w:p>
        </w:tc>
        <w:tc>
          <w:tcPr>
            <w:tcW w:w="1008" w:type="dxa"/>
          </w:tcPr>
          <w:p>
            <w:pPr>
              <w:pStyle w:val="0"/>
              <w:jc w:val="center"/>
            </w:pPr>
            <w:r>
              <w:rPr>
                <w:sz w:val="24"/>
              </w:rPr>
              <w:t xml:space="preserve">x</w:t>
            </w:r>
          </w:p>
        </w:tc>
        <w:tc>
          <w:tcPr>
            <w:tcW w:w="1011" w:type="dxa"/>
          </w:tcPr>
          <w:p>
            <w:pPr>
              <w:pStyle w:val="0"/>
              <w:jc w:val="center"/>
            </w:pPr>
            <w:r>
              <w:rPr>
                <w:sz w:val="24"/>
              </w:rPr>
              <w:t xml:space="preserve">34</w:t>
            </w:r>
          </w:p>
        </w:tc>
      </w:tr>
      <w:tr>
        <w:tc>
          <w:tcPr>
            <w:gridSpan w:val="2"/>
            <w:tcW w:w="4327" w:type="dxa"/>
          </w:tcPr>
          <w:p>
            <w:pPr>
              <w:pStyle w:val="0"/>
              <w:jc w:val="both"/>
            </w:pPr>
            <w:r>
              <w:rPr>
                <w:sz w:val="24"/>
              </w:rPr>
              <w:t xml:space="preserve">Всего по этапу 2025 года</w:t>
            </w:r>
          </w:p>
        </w:tc>
        <w:tc>
          <w:tcPr>
            <w:tcW w:w="1164" w:type="dxa"/>
          </w:tcPr>
          <w:p>
            <w:pPr>
              <w:pStyle w:val="0"/>
              <w:jc w:val="center"/>
            </w:pPr>
            <w:r>
              <w:rPr>
                <w:sz w:val="24"/>
              </w:rPr>
              <w:t xml:space="preserve">0,00</w:t>
            </w:r>
          </w:p>
        </w:tc>
        <w:tc>
          <w:tcPr>
            <w:tcW w:w="1164" w:type="dxa"/>
          </w:tcPr>
          <w:p>
            <w:pPr>
              <w:pStyle w:val="0"/>
              <w:jc w:val="center"/>
            </w:pPr>
            <w:r>
              <w:rPr>
                <w:sz w:val="24"/>
              </w:rPr>
              <w:t xml:space="preserve">4075,80</w:t>
            </w:r>
          </w:p>
        </w:tc>
        <w:tc>
          <w:tcPr>
            <w:tcW w:w="1165" w:type="dxa"/>
          </w:tcPr>
          <w:p>
            <w:pPr>
              <w:pStyle w:val="0"/>
              <w:jc w:val="center"/>
            </w:pPr>
            <w:r>
              <w:rPr>
                <w:sz w:val="24"/>
              </w:rPr>
              <w:t xml:space="preserve">0,00</w:t>
            </w:r>
          </w:p>
        </w:tc>
        <w:tc>
          <w:tcPr>
            <w:tcW w:w="1134" w:type="dxa"/>
          </w:tcPr>
          <w:p>
            <w:pPr>
              <w:pStyle w:val="0"/>
              <w:jc w:val="center"/>
            </w:pPr>
            <w:r>
              <w:rPr>
                <w:sz w:val="24"/>
              </w:rPr>
              <w:t xml:space="preserve">4075,80</w:t>
            </w:r>
          </w:p>
        </w:tc>
        <w:tc>
          <w:tcPr>
            <w:tcW w:w="1008" w:type="dxa"/>
          </w:tcPr>
          <w:p>
            <w:pPr>
              <w:pStyle w:val="0"/>
              <w:jc w:val="center"/>
            </w:pPr>
            <w:r>
              <w:rPr>
                <w:sz w:val="24"/>
              </w:rPr>
              <w:t xml:space="preserve">0</w:t>
            </w:r>
          </w:p>
        </w:tc>
        <w:tc>
          <w:tcPr>
            <w:tcW w:w="1008" w:type="dxa"/>
          </w:tcPr>
          <w:p>
            <w:pPr>
              <w:pStyle w:val="0"/>
              <w:jc w:val="center"/>
            </w:pPr>
            <w:r>
              <w:rPr>
                <w:sz w:val="24"/>
              </w:rPr>
              <w:t xml:space="preserve">252</w:t>
            </w:r>
          </w:p>
        </w:tc>
        <w:tc>
          <w:tcPr>
            <w:tcW w:w="1008" w:type="dxa"/>
          </w:tcPr>
          <w:p>
            <w:pPr>
              <w:pStyle w:val="0"/>
              <w:jc w:val="center"/>
            </w:pPr>
            <w:r>
              <w:rPr>
                <w:sz w:val="24"/>
              </w:rPr>
              <w:t xml:space="preserve">0</w:t>
            </w:r>
          </w:p>
        </w:tc>
        <w:tc>
          <w:tcPr>
            <w:tcW w:w="1011" w:type="dxa"/>
          </w:tcPr>
          <w:p>
            <w:pPr>
              <w:pStyle w:val="0"/>
              <w:jc w:val="center"/>
            </w:pPr>
            <w:r>
              <w:rPr>
                <w:sz w:val="24"/>
              </w:rPr>
              <w:t xml:space="preserve">252</w:t>
            </w:r>
          </w:p>
        </w:tc>
      </w:tr>
      <w:tr>
        <w:tc>
          <w:tcPr>
            <w:tcW w:w="585" w:type="dxa"/>
          </w:tcPr>
          <w:p>
            <w:pPr>
              <w:pStyle w:val="0"/>
              <w:jc w:val="both"/>
            </w:pPr>
            <w:r>
              <w:rPr>
                <w:sz w:val="24"/>
              </w:rPr>
              <w:t xml:space="preserve">1</w:t>
            </w:r>
          </w:p>
        </w:tc>
        <w:tc>
          <w:tcPr>
            <w:tcW w:w="3742" w:type="dxa"/>
          </w:tcPr>
          <w:p>
            <w:pPr>
              <w:pStyle w:val="0"/>
              <w:jc w:val="both"/>
            </w:pPr>
            <w:r>
              <w:rPr>
                <w:sz w:val="24"/>
              </w:rPr>
              <w:t xml:space="preserve">Итого по городскому округу Иваново</w:t>
            </w:r>
          </w:p>
        </w:tc>
        <w:tc>
          <w:tcPr>
            <w:tcW w:w="1164" w:type="dxa"/>
          </w:tcPr>
          <w:p>
            <w:pPr>
              <w:pStyle w:val="0"/>
              <w:jc w:val="center"/>
            </w:pPr>
            <w:r>
              <w:rPr>
                <w:sz w:val="24"/>
              </w:rPr>
              <w:t xml:space="preserve">0,00</w:t>
            </w:r>
          </w:p>
        </w:tc>
        <w:tc>
          <w:tcPr>
            <w:tcW w:w="1164" w:type="dxa"/>
          </w:tcPr>
          <w:p>
            <w:pPr>
              <w:pStyle w:val="0"/>
              <w:jc w:val="center"/>
            </w:pPr>
            <w:r>
              <w:rPr>
                <w:sz w:val="24"/>
              </w:rPr>
              <w:t xml:space="preserve">2626,00</w:t>
            </w:r>
          </w:p>
        </w:tc>
        <w:tc>
          <w:tcPr>
            <w:tcW w:w="1165" w:type="dxa"/>
          </w:tcPr>
          <w:p>
            <w:pPr>
              <w:pStyle w:val="0"/>
              <w:jc w:val="center"/>
            </w:pPr>
            <w:r>
              <w:rPr>
                <w:sz w:val="24"/>
              </w:rPr>
              <w:t xml:space="preserve">0,00</w:t>
            </w:r>
          </w:p>
        </w:tc>
        <w:tc>
          <w:tcPr>
            <w:tcW w:w="1134" w:type="dxa"/>
          </w:tcPr>
          <w:p>
            <w:pPr>
              <w:pStyle w:val="0"/>
              <w:jc w:val="center"/>
            </w:pPr>
            <w:r>
              <w:rPr>
                <w:sz w:val="24"/>
              </w:rPr>
              <w:t xml:space="preserve">2626,00</w:t>
            </w:r>
          </w:p>
        </w:tc>
        <w:tc>
          <w:tcPr>
            <w:tcW w:w="1008" w:type="dxa"/>
          </w:tcPr>
          <w:p>
            <w:pPr>
              <w:pStyle w:val="0"/>
              <w:jc w:val="center"/>
            </w:pPr>
            <w:r>
              <w:rPr>
                <w:sz w:val="24"/>
              </w:rPr>
              <w:t xml:space="preserve">0</w:t>
            </w:r>
          </w:p>
        </w:tc>
        <w:tc>
          <w:tcPr>
            <w:tcW w:w="1008" w:type="dxa"/>
          </w:tcPr>
          <w:p>
            <w:pPr>
              <w:pStyle w:val="0"/>
              <w:jc w:val="center"/>
            </w:pPr>
            <w:r>
              <w:rPr>
                <w:sz w:val="24"/>
              </w:rPr>
              <w:t xml:space="preserve">148</w:t>
            </w:r>
          </w:p>
        </w:tc>
        <w:tc>
          <w:tcPr>
            <w:tcW w:w="1008" w:type="dxa"/>
          </w:tcPr>
          <w:p>
            <w:pPr>
              <w:pStyle w:val="0"/>
              <w:jc w:val="center"/>
            </w:pPr>
            <w:r>
              <w:rPr>
                <w:sz w:val="24"/>
              </w:rPr>
              <w:t xml:space="preserve">0</w:t>
            </w:r>
          </w:p>
        </w:tc>
        <w:tc>
          <w:tcPr>
            <w:tcW w:w="1011" w:type="dxa"/>
          </w:tcPr>
          <w:p>
            <w:pPr>
              <w:pStyle w:val="0"/>
              <w:jc w:val="center"/>
            </w:pPr>
            <w:r>
              <w:rPr>
                <w:sz w:val="24"/>
              </w:rPr>
              <w:t xml:space="preserve">148</w:t>
            </w:r>
          </w:p>
        </w:tc>
      </w:tr>
      <w:tr>
        <w:tc>
          <w:tcPr>
            <w:tcW w:w="585" w:type="dxa"/>
          </w:tcPr>
          <w:p>
            <w:pPr>
              <w:pStyle w:val="0"/>
              <w:jc w:val="both"/>
            </w:pPr>
            <w:r>
              <w:rPr>
                <w:sz w:val="24"/>
              </w:rPr>
              <w:t xml:space="preserve">2</w:t>
            </w:r>
          </w:p>
        </w:tc>
        <w:tc>
          <w:tcPr>
            <w:tcW w:w="3742" w:type="dxa"/>
          </w:tcPr>
          <w:p>
            <w:pPr>
              <w:pStyle w:val="0"/>
              <w:jc w:val="both"/>
            </w:pPr>
            <w:r>
              <w:rPr>
                <w:sz w:val="24"/>
              </w:rPr>
              <w:t xml:space="preserve">Итого по городскому округу Кинешма</w:t>
            </w:r>
          </w:p>
        </w:tc>
        <w:tc>
          <w:tcPr>
            <w:tcW w:w="1164" w:type="dxa"/>
          </w:tcPr>
          <w:p>
            <w:pPr>
              <w:pStyle w:val="0"/>
              <w:jc w:val="center"/>
            </w:pPr>
            <w:r>
              <w:rPr>
                <w:sz w:val="24"/>
              </w:rPr>
              <w:t xml:space="preserve">0,00</w:t>
            </w:r>
          </w:p>
        </w:tc>
        <w:tc>
          <w:tcPr>
            <w:tcW w:w="1164" w:type="dxa"/>
          </w:tcPr>
          <w:p>
            <w:pPr>
              <w:pStyle w:val="0"/>
              <w:jc w:val="center"/>
            </w:pPr>
            <w:r>
              <w:rPr>
                <w:sz w:val="24"/>
              </w:rPr>
              <w:t xml:space="preserve">1449,80</w:t>
            </w:r>
          </w:p>
        </w:tc>
        <w:tc>
          <w:tcPr>
            <w:tcW w:w="1165" w:type="dxa"/>
          </w:tcPr>
          <w:p>
            <w:pPr>
              <w:pStyle w:val="0"/>
              <w:jc w:val="center"/>
            </w:pPr>
            <w:r>
              <w:rPr>
                <w:sz w:val="24"/>
              </w:rPr>
              <w:t xml:space="preserve">0,00</w:t>
            </w:r>
          </w:p>
        </w:tc>
        <w:tc>
          <w:tcPr>
            <w:tcW w:w="1134" w:type="dxa"/>
          </w:tcPr>
          <w:p>
            <w:pPr>
              <w:pStyle w:val="0"/>
              <w:jc w:val="center"/>
            </w:pPr>
            <w:r>
              <w:rPr>
                <w:sz w:val="24"/>
              </w:rPr>
              <w:t xml:space="preserve">1449,80</w:t>
            </w:r>
          </w:p>
        </w:tc>
        <w:tc>
          <w:tcPr>
            <w:tcW w:w="1008" w:type="dxa"/>
          </w:tcPr>
          <w:p>
            <w:pPr>
              <w:pStyle w:val="0"/>
              <w:jc w:val="center"/>
            </w:pPr>
            <w:r>
              <w:rPr>
                <w:sz w:val="24"/>
              </w:rPr>
              <w:t xml:space="preserve">0</w:t>
            </w:r>
          </w:p>
        </w:tc>
        <w:tc>
          <w:tcPr>
            <w:tcW w:w="1008" w:type="dxa"/>
          </w:tcPr>
          <w:p>
            <w:pPr>
              <w:pStyle w:val="0"/>
              <w:jc w:val="center"/>
            </w:pPr>
            <w:r>
              <w:rPr>
                <w:sz w:val="24"/>
              </w:rPr>
              <w:t xml:space="preserve">104</w:t>
            </w:r>
          </w:p>
        </w:tc>
        <w:tc>
          <w:tcPr>
            <w:tcW w:w="1008" w:type="dxa"/>
          </w:tcPr>
          <w:p>
            <w:pPr>
              <w:pStyle w:val="0"/>
              <w:jc w:val="center"/>
            </w:pPr>
            <w:r>
              <w:rPr>
                <w:sz w:val="24"/>
              </w:rPr>
              <w:t xml:space="preserve">0</w:t>
            </w:r>
          </w:p>
        </w:tc>
        <w:tc>
          <w:tcPr>
            <w:tcW w:w="1011" w:type="dxa"/>
          </w:tcPr>
          <w:p>
            <w:pPr>
              <w:pStyle w:val="0"/>
              <w:jc w:val="center"/>
            </w:pPr>
            <w:r>
              <w:rPr>
                <w:sz w:val="24"/>
              </w:rPr>
              <w:t xml:space="preserve">104</w:t>
            </w:r>
          </w:p>
        </w:tc>
      </w:tr>
      <w:tr>
        <w:tc>
          <w:tcPr>
            <w:gridSpan w:val="2"/>
            <w:tcW w:w="4327" w:type="dxa"/>
          </w:tcPr>
          <w:p>
            <w:pPr>
              <w:pStyle w:val="0"/>
              <w:jc w:val="both"/>
            </w:pPr>
            <w:r>
              <w:rPr>
                <w:sz w:val="24"/>
              </w:rPr>
              <w:t xml:space="preserve">Всего по этапу 2026 года</w:t>
            </w:r>
          </w:p>
        </w:tc>
        <w:tc>
          <w:tcPr>
            <w:tcW w:w="1164" w:type="dxa"/>
          </w:tcPr>
          <w:p>
            <w:pPr>
              <w:pStyle w:val="0"/>
              <w:jc w:val="center"/>
            </w:pPr>
            <w:r>
              <w:rPr>
                <w:sz w:val="24"/>
              </w:rPr>
              <w:t xml:space="preserve">0,00</w:t>
            </w:r>
          </w:p>
        </w:tc>
        <w:tc>
          <w:tcPr>
            <w:tcW w:w="1164" w:type="dxa"/>
          </w:tcPr>
          <w:p>
            <w:pPr>
              <w:pStyle w:val="0"/>
              <w:jc w:val="center"/>
            </w:pPr>
            <w:r>
              <w:rPr>
                <w:sz w:val="24"/>
              </w:rPr>
              <w:t xml:space="preserve">0,00</w:t>
            </w:r>
          </w:p>
        </w:tc>
        <w:tc>
          <w:tcPr>
            <w:tcW w:w="1165" w:type="dxa"/>
          </w:tcPr>
          <w:p>
            <w:pPr>
              <w:pStyle w:val="0"/>
              <w:jc w:val="center"/>
            </w:pPr>
            <w:r>
              <w:rPr>
                <w:sz w:val="24"/>
              </w:rPr>
              <w:t xml:space="preserve">4752,66</w:t>
            </w:r>
          </w:p>
        </w:tc>
        <w:tc>
          <w:tcPr>
            <w:tcW w:w="1134" w:type="dxa"/>
          </w:tcPr>
          <w:p>
            <w:pPr>
              <w:pStyle w:val="0"/>
              <w:jc w:val="center"/>
            </w:pPr>
            <w:r>
              <w:rPr>
                <w:sz w:val="24"/>
              </w:rPr>
              <w:t xml:space="preserve">4752,66</w:t>
            </w:r>
          </w:p>
        </w:tc>
        <w:tc>
          <w:tcPr>
            <w:tcW w:w="1008" w:type="dxa"/>
          </w:tcPr>
          <w:p>
            <w:pPr>
              <w:pStyle w:val="0"/>
              <w:jc w:val="center"/>
            </w:pPr>
            <w:r>
              <w:rPr>
                <w:sz w:val="24"/>
              </w:rPr>
              <w:t xml:space="preserve">0</w:t>
            </w:r>
          </w:p>
        </w:tc>
        <w:tc>
          <w:tcPr>
            <w:tcW w:w="1008" w:type="dxa"/>
          </w:tcPr>
          <w:p>
            <w:pPr>
              <w:pStyle w:val="0"/>
              <w:jc w:val="center"/>
            </w:pPr>
            <w:r>
              <w:rPr>
                <w:sz w:val="24"/>
              </w:rPr>
              <w:t xml:space="preserve">0</w:t>
            </w:r>
          </w:p>
        </w:tc>
        <w:tc>
          <w:tcPr>
            <w:tcW w:w="1008" w:type="dxa"/>
          </w:tcPr>
          <w:p>
            <w:pPr>
              <w:pStyle w:val="0"/>
              <w:jc w:val="center"/>
            </w:pPr>
            <w:r>
              <w:rPr>
                <w:sz w:val="24"/>
              </w:rPr>
              <w:t xml:space="preserve">272</w:t>
            </w:r>
          </w:p>
        </w:tc>
        <w:tc>
          <w:tcPr>
            <w:tcW w:w="1011" w:type="dxa"/>
          </w:tcPr>
          <w:p>
            <w:pPr>
              <w:pStyle w:val="0"/>
              <w:jc w:val="center"/>
            </w:pPr>
            <w:r>
              <w:rPr>
                <w:sz w:val="24"/>
              </w:rPr>
              <w:t xml:space="preserve">272</w:t>
            </w:r>
          </w:p>
        </w:tc>
      </w:tr>
      <w:tr>
        <w:tc>
          <w:tcPr>
            <w:tcW w:w="585" w:type="dxa"/>
          </w:tcPr>
          <w:p>
            <w:pPr>
              <w:pStyle w:val="0"/>
              <w:jc w:val="both"/>
            </w:pPr>
            <w:r>
              <w:rPr>
                <w:sz w:val="24"/>
              </w:rPr>
              <w:t xml:space="preserve">1</w:t>
            </w:r>
          </w:p>
        </w:tc>
        <w:tc>
          <w:tcPr>
            <w:tcW w:w="3742" w:type="dxa"/>
          </w:tcPr>
          <w:p>
            <w:pPr>
              <w:pStyle w:val="0"/>
              <w:jc w:val="both"/>
            </w:pPr>
            <w:r>
              <w:rPr>
                <w:sz w:val="24"/>
              </w:rPr>
              <w:t xml:space="preserve">Итого по городскому округу Иваново</w:t>
            </w:r>
          </w:p>
        </w:tc>
        <w:tc>
          <w:tcPr>
            <w:tcW w:w="1164" w:type="dxa"/>
          </w:tcPr>
          <w:p>
            <w:pPr>
              <w:pStyle w:val="0"/>
              <w:jc w:val="center"/>
            </w:pPr>
            <w:r>
              <w:rPr>
                <w:sz w:val="24"/>
              </w:rPr>
              <w:t xml:space="preserve">0,00</w:t>
            </w:r>
          </w:p>
        </w:tc>
        <w:tc>
          <w:tcPr>
            <w:tcW w:w="1164" w:type="dxa"/>
          </w:tcPr>
          <w:p>
            <w:pPr>
              <w:pStyle w:val="0"/>
              <w:jc w:val="center"/>
            </w:pPr>
            <w:r>
              <w:rPr>
                <w:sz w:val="24"/>
              </w:rPr>
              <w:t xml:space="preserve">0,00</w:t>
            </w:r>
          </w:p>
        </w:tc>
        <w:tc>
          <w:tcPr>
            <w:tcW w:w="1165" w:type="dxa"/>
          </w:tcPr>
          <w:p>
            <w:pPr>
              <w:pStyle w:val="0"/>
              <w:jc w:val="center"/>
            </w:pPr>
            <w:r>
              <w:rPr>
                <w:sz w:val="24"/>
              </w:rPr>
              <w:t xml:space="preserve">1781,90</w:t>
            </w:r>
          </w:p>
        </w:tc>
        <w:tc>
          <w:tcPr>
            <w:tcW w:w="1134" w:type="dxa"/>
          </w:tcPr>
          <w:p>
            <w:pPr>
              <w:pStyle w:val="0"/>
              <w:jc w:val="center"/>
            </w:pPr>
            <w:r>
              <w:rPr>
                <w:sz w:val="24"/>
              </w:rPr>
              <w:t xml:space="preserve">1781,90</w:t>
            </w:r>
          </w:p>
        </w:tc>
        <w:tc>
          <w:tcPr>
            <w:tcW w:w="1008" w:type="dxa"/>
          </w:tcPr>
          <w:p>
            <w:pPr>
              <w:pStyle w:val="0"/>
              <w:jc w:val="center"/>
            </w:pPr>
            <w:r>
              <w:rPr>
                <w:sz w:val="24"/>
              </w:rPr>
              <w:t xml:space="preserve">0</w:t>
            </w:r>
          </w:p>
        </w:tc>
        <w:tc>
          <w:tcPr>
            <w:tcW w:w="1008" w:type="dxa"/>
          </w:tcPr>
          <w:p>
            <w:pPr>
              <w:pStyle w:val="0"/>
              <w:jc w:val="center"/>
            </w:pPr>
            <w:r>
              <w:rPr>
                <w:sz w:val="24"/>
              </w:rPr>
              <w:t xml:space="preserve">0</w:t>
            </w:r>
          </w:p>
        </w:tc>
        <w:tc>
          <w:tcPr>
            <w:tcW w:w="1008" w:type="dxa"/>
          </w:tcPr>
          <w:p>
            <w:pPr>
              <w:pStyle w:val="0"/>
              <w:jc w:val="center"/>
            </w:pPr>
            <w:r>
              <w:rPr>
                <w:sz w:val="24"/>
              </w:rPr>
              <w:t xml:space="preserve">110</w:t>
            </w:r>
          </w:p>
        </w:tc>
        <w:tc>
          <w:tcPr>
            <w:tcW w:w="1011" w:type="dxa"/>
          </w:tcPr>
          <w:p>
            <w:pPr>
              <w:pStyle w:val="0"/>
              <w:jc w:val="center"/>
            </w:pPr>
            <w:r>
              <w:rPr>
                <w:sz w:val="24"/>
              </w:rPr>
              <w:t xml:space="preserve">110</w:t>
            </w:r>
          </w:p>
        </w:tc>
      </w:tr>
      <w:tr>
        <w:tc>
          <w:tcPr>
            <w:tcW w:w="585" w:type="dxa"/>
          </w:tcPr>
          <w:p>
            <w:pPr>
              <w:pStyle w:val="0"/>
              <w:jc w:val="both"/>
            </w:pPr>
            <w:r>
              <w:rPr>
                <w:sz w:val="24"/>
              </w:rPr>
              <w:t xml:space="preserve">2</w:t>
            </w:r>
          </w:p>
        </w:tc>
        <w:tc>
          <w:tcPr>
            <w:tcW w:w="3742" w:type="dxa"/>
          </w:tcPr>
          <w:p>
            <w:pPr>
              <w:pStyle w:val="0"/>
              <w:jc w:val="both"/>
            </w:pPr>
            <w:r>
              <w:rPr>
                <w:sz w:val="24"/>
              </w:rPr>
              <w:t xml:space="preserve">Итого по городскому округу Кинешма</w:t>
            </w:r>
          </w:p>
        </w:tc>
        <w:tc>
          <w:tcPr>
            <w:tcW w:w="1164" w:type="dxa"/>
          </w:tcPr>
          <w:p>
            <w:pPr>
              <w:pStyle w:val="0"/>
              <w:jc w:val="center"/>
            </w:pPr>
            <w:r>
              <w:rPr>
                <w:sz w:val="24"/>
              </w:rPr>
              <w:t xml:space="preserve">0,00</w:t>
            </w:r>
          </w:p>
        </w:tc>
        <w:tc>
          <w:tcPr>
            <w:tcW w:w="1164" w:type="dxa"/>
          </w:tcPr>
          <w:p>
            <w:pPr>
              <w:pStyle w:val="0"/>
              <w:jc w:val="center"/>
            </w:pPr>
            <w:r>
              <w:rPr>
                <w:sz w:val="24"/>
              </w:rPr>
              <w:t xml:space="preserve">0,00</w:t>
            </w:r>
          </w:p>
        </w:tc>
        <w:tc>
          <w:tcPr>
            <w:tcW w:w="1165" w:type="dxa"/>
          </w:tcPr>
          <w:p>
            <w:pPr>
              <w:pStyle w:val="0"/>
              <w:jc w:val="center"/>
            </w:pPr>
            <w:r>
              <w:rPr>
                <w:sz w:val="24"/>
              </w:rPr>
              <w:t xml:space="preserve">1464,16</w:t>
            </w:r>
          </w:p>
        </w:tc>
        <w:tc>
          <w:tcPr>
            <w:tcW w:w="1134" w:type="dxa"/>
          </w:tcPr>
          <w:p>
            <w:pPr>
              <w:pStyle w:val="0"/>
              <w:jc w:val="center"/>
            </w:pPr>
            <w:r>
              <w:rPr>
                <w:sz w:val="24"/>
              </w:rPr>
              <w:t xml:space="preserve">1464,16</w:t>
            </w:r>
          </w:p>
        </w:tc>
        <w:tc>
          <w:tcPr>
            <w:tcW w:w="1008" w:type="dxa"/>
          </w:tcPr>
          <w:p>
            <w:pPr>
              <w:pStyle w:val="0"/>
              <w:jc w:val="center"/>
            </w:pPr>
            <w:r>
              <w:rPr>
                <w:sz w:val="24"/>
              </w:rPr>
              <w:t xml:space="preserve">0</w:t>
            </w:r>
          </w:p>
        </w:tc>
        <w:tc>
          <w:tcPr>
            <w:tcW w:w="1008" w:type="dxa"/>
          </w:tcPr>
          <w:p>
            <w:pPr>
              <w:pStyle w:val="0"/>
              <w:jc w:val="center"/>
            </w:pPr>
            <w:r>
              <w:rPr>
                <w:sz w:val="24"/>
              </w:rPr>
              <w:t xml:space="preserve">0</w:t>
            </w:r>
          </w:p>
        </w:tc>
        <w:tc>
          <w:tcPr>
            <w:tcW w:w="1008" w:type="dxa"/>
          </w:tcPr>
          <w:p>
            <w:pPr>
              <w:pStyle w:val="0"/>
              <w:jc w:val="center"/>
            </w:pPr>
            <w:r>
              <w:rPr>
                <w:sz w:val="24"/>
              </w:rPr>
              <w:t xml:space="preserve">88</w:t>
            </w:r>
          </w:p>
        </w:tc>
        <w:tc>
          <w:tcPr>
            <w:tcW w:w="1011" w:type="dxa"/>
          </w:tcPr>
          <w:p>
            <w:pPr>
              <w:pStyle w:val="0"/>
              <w:jc w:val="center"/>
            </w:pPr>
            <w:r>
              <w:rPr>
                <w:sz w:val="24"/>
              </w:rPr>
              <w:t xml:space="preserve">88</w:t>
            </w:r>
          </w:p>
        </w:tc>
      </w:tr>
      <w:tr>
        <w:tc>
          <w:tcPr>
            <w:tcW w:w="585" w:type="dxa"/>
          </w:tcPr>
          <w:p>
            <w:pPr>
              <w:pStyle w:val="0"/>
              <w:jc w:val="both"/>
            </w:pPr>
            <w:r>
              <w:rPr>
                <w:sz w:val="24"/>
              </w:rPr>
              <w:t xml:space="preserve">3</w:t>
            </w:r>
          </w:p>
        </w:tc>
        <w:tc>
          <w:tcPr>
            <w:tcW w:w="3742" w:type="dxa"/>
          </w:tcPr>
          <w:p>
            <w:pPr>
              <w:pStyle w:val="0"/>
              <w:jc w:val="both"/>
            </w:pPr>
            <w:r>
              <w:rPr>
                <w:sz w:val="24"/>
              </w:rPr>
              <w:t xml:space="preserve">Итого по городскому округу Кохма</w:t>
            </w:r>
          </w:p>
        </w:tc>
        <w:tc>
          <w:tcPr>
            <w:tcW w:w="1164" w:type="dxa"/>
          </w:tcPr>
          <w:p>
            <w:pPr>
              <w:pStyle w:val="0"/>
              <w:jc w:val="center"/>
            </w:pPr>
            <w:r>
              <w:rPr>
                <w:sz w:val="24"/>
              </w:rPr>
              <w:t xml:space="preserve">0,00</w:t>
            </w:r>
          </w:p>
        </w:tc>
        <w:tc>
          <w:tcPr>
            <w:tcW w:w="1164" w:type="dxa"/>
          </w:tcPr>
          <w:p>
            <w:pPr>
              <w:pStyle w:val="0"/>
              <w:jc w:val="center"/>
            </w:pPr>
            <w:r>
              <w:rPr>
                <w:sz w:val="24"/>
              </w:rPr>
              <w:t xml:space="preserve">0,00</w:t>
            </w:r>
          </w:p>
        </w:tc>
        <w:tc>
          <w:tcPr>
            <w:tcW w:w="1165" w:type="dxa"/>
          </w:tcPr>
          <w:p>
            <w:pPr>
              <w:pStyle w:val="0"/>
              <w:jc w:val="center"/>
            </w:pPr>
            <w:r>
              <w:rPr>
                <w:sz w:val="24"/>
              </w:rPr>
              <w:t xml:space="preserve">409,00</w:t>
            </w:r>
          </w:p>
        </w:tc>
        <w:tc>
          <w:tcPr>
            <w:tcW w:w="1134" w:type="dxa"/>
          </w:tcPr>
          <w:p>
            <w:pPr>
              <w:pStyle w:val="0"/>
              <w:jc w:val="center"/>
            </w:pPr>
            <w:r>
              <w:rPr>
                <w:sz w:val="24"/>
              </w:rPr>
              <w:t xml:space="preserve">409,00</w:t>
            </w:r>
          </w:p>
        </w:tc>
        <w:tc>
          <w:tcPr>
            <w:tcW w:w="1008" w:type="dxa"/>
          </w:tcPr>
          <w:p>
            <w:pPr>
              <w:pStyle w:val="0"/>
              <w:jc w:val="center"/>
            </w:pPr>
            <w:r>
              <w:rPr>
                <w:sz w:val="24"/>
              </w:rPr>
              <w:t xml:space="preserve">0</w:t>
            </w:r>
          </w:p>
        </w:tc>
        <w:tc>
          <w:tcPr>
            <w:tcW w:w="1008" w:type="dxa"/>
          </w:tcPr>
          <w:p>
            <w:pPr>
              <w:pStyle w:val="0"/>
              <w:jc w:val="center"/>
            </w:pPr>
            <w:r>
              <w:rPr>
                <w:sz w:val="24"/>
              </w:rPr>
              <w:t xml:space="preserve">0</w:t>
            </w:r>
          </w:p>
        </w:tc>
        <w:tc>
          <w:tcPr>
            <w:tcW w:w="1008" w:type="dxa"/>
          </w:tcPr>
          <w:p>
            <w:pPr>
              <w:pStyle w:val="0"/>
              <w:jc w:val="center"/>
            </w:pPr>
            <w:r>
              <w:rPr>
                <w:sz w:val="24"/>
              </w:rPr>
              <w:t xml:space="preserve">27</w:t>
            </w:r>
          </w:p>
        </w:tc>
        <w:tc>
          <w:tcPr>
            <w:tcW w:w="1011" w:type="dxa"/>
          </w:tcPr>
          <w:p>
            <w:pPr>
              <w:pStyle w:val="0"/>
              <w:jc w:val="center"/>
            </w:pPr>
            <w:r>
              <w:rPr>
                <w:sz w:val="24"/>
              </w:rPr>
              <w:t xml:space="preserve">27</w:t>
            </w:r>
          </w:p>
        </w:tc>
      </w:tr>
      <w:tr>
        <w:tc>
          <w:tcPr>
            <w:tcW w:w="585" w:type="dxa"/>
          </w:tcPr>
          <w:p>
            <w:pPr>
              <w:pStyle w:val="0"/>
              <w:jc w:val="both"/>
            </w:pPr>
            <w:r>
              <w:rPr>
                <w:sz w:val="24"/>
              </w:rPr>
              <w:t xml:space="preserve">4</w:t>
            </w:r>
          </w:p>
        </w:tc>
        <w:tc>
          <w:tcPr>
            <w:tcW w:w="3742" w:type="dxa"/>
          </w:tcPr>
          <w:p>
            <w:pPr>
              <w:pStyle w:val="0"/>
              <w:jc w:val="both"/>
            </w:pPr>
            <w:r>
              <w:rPr>
                <w:sz w:val="24"/>
              </w:rPr>
              <w:t xml:space="preserve">Итого по Заволжскому городскому поселению Заволжского муниципального района</w:t>
            </w:r>
          </w:p>
        </w:tc>
        <w:tc>
          <w:tcPr>
            <w:tcW w:w="1164" w:type="dxa"/>
          </w:tcPr>
          <w:p>
            <w:pPr>
              <w:pStyle w:val="0"/>
              <w:jc w:val="center"/>
            </w:pPr>
            <w:r>
              <w:rPr>
                <w:sz w:val="24"/>
              </w:rPr>
              <w:t xml:space="preserve">0,00</w:t>
            </w:r>
          </w:p>
        </w:tc>
        <w:tc>
          <w:tcPr>
            <w:tcW w:w="1164" w:type="dxa"/>
          </w:tcPr>
          <w:p>
            <w:pPr>
              <w:pStyle w:val="0"/>
              <w:jc w:val="center"/>
            </w:pPr>
            <w:r>
              <w:rPr>
                <w:sz w:val="24"/>
              </w:rPr>
              <w:t xml:space="preserve">0,00</w:t>
            </w:r>
          </w:p>
        </w:tc>
        <w:tc>
          <w:tcPr>
            <w:tcW w:w="1165" w:type="dxa"/>
          </w:tcPr>
          <w:p>
            <w:pPr>
              <w:pStyle w:val="0"/>
              <w:jc w:val="center"/>
            </w:pPr>
            <w:r>
              <w:rPr>
                <w:sz w:val="24"/>
              </w:rPr>
              <w:t xml:space="preserve">338,70</w:t>
            </w:r>
          </w:p>
        </w:tc>
        <w:tc>
          <w:tcPr>
            <w:tcW w:w="1134" w:type="dxa"/>
          </w:tcPr>
          <w:p>
            <w:pPr>
              <w:pStyle w:val="0"/>
              <w:jc w:val="center"/>
            </w:pPr>
            <w:r>
              <w:rPr>
                <w:sz w:val="24"/>
              </w:rPr>
              <w:t xml:space="preserve">338,70</w:t>
            </w:r>
          </w:p>
        </w:tc>
        <w:tc>
          <w:tcPr>
            <w:tcW w:w="1008" w:type="dxa"/>
          </w:tcPr>
          <w:p>
            <w:pPr>
              <w:pStyle w:val="0"/>
              <w:jc w:val="center"/>
            </w:pPr>
            <w:r>
              <w:rPr>
                <w:sz w:val="24"/>
              </w:rPr>
              <w:t xml:space="preserve">0</w:t>
            </w:r>
          </w:p>
        </w:tc>
        <w:tc>
          <w:tcPr>
            <w:tcW w:w="1008" w:type="dxa"/>
          </w:tcPr>
          <w:p>
            <w:pPr>
              <w:pStyle w:val="0"/>
              <w:jc w:val="center"/>
            </w:pPr>
            <w:r>
              <w:rPr>
                <w:sz w:val="24"/>
              </w:rPr>
              <w:t xml:space="preserve">0</w:t>
            </w:r>
          </w:p>
        </w:tc>
        <w:tc>
          <w:tcPr>
            <w:tcW w:w="1008" w:type="dxa"/>
          </w:tcPr>
          <w:p>
            <w:pPr>
              <w:pStyle w:val="0"/>
              <w:jc w:val="center"/>
            </w:pPr>
            <w:r>
              <w:rPr>
                <w:sz w:val="24"/>
              </w:rPr>
              <w:t xml:space="preserve">12</w:t>
            </w:r>
          </w:p>
        </w:tc>
        <w:tc>
          <w:tcPr>
            <w:tcW w:w="1011" w:type="dxa"/>
          </w:tcPr>
          <w:p>
            <w:pPr>
              <w:pStyle w:val="0"/>
              <w:jc w:val="center"/>
            </w:pPr>
            <w:r>
              <w:rPr>
                <w:sz w:val="24"/>
              </w:rPr>
              <w:t xml:space="preserve">12</w:t>
            </w:r>
          </w:p>
        </w:tc>
      </w:tr>
      <w:tr>
        <w:tc>
          <w:tcPr>
            <w:tcW w:w="585" w:type="dxa"/>
          </w:tcPr>
          <w:p>
            <w:pPr>
              <w:pStyle w:val="0"/>
              <w:jc w:val="both"/>
            </w:pPr>
            <w:r>
              <w:rPr>
                <w:sz w:val="24"/>
              </w:rPr>
              <w:t xml:space="preserve">5</w:t>
            </w:r>
          </w:p>
        </w:tc>
        <w:tc>
          <w:tcPr>
            <w:tcW w:w="3742" w:type="dxa"/>
          </w:tcPr>
          <w:p>
            <w:pPr>
              <w:pStyle w:val="0"/>
              <w:jc w:val="both"/>
            </w:pPr>
            <w:r>
              <w:rPr>
                <w:sz w:val="24"/>
              </w:rPr>
              <w:t xml:space="preserve">Итого по Лежневскому городскому поселению Лежневского муниципального района</w:t>
            </w:r>
          </w:p>
        </w:tc>
        <w:tc>
          <w:tcPr>
            <w:tcW w:w="1164" w:type="dxa"/>
          </w:tcPr>
          <w:p>
            <w:pPr>
              <w:pStyle w:val="0"/>
              <w:jc w:val="center"/>
            </w:pPr>
            <w:r>
              <w:rPr>
                <w:sz w:val="24"/>
              </w:rPr>
              <w:t xml:space="preserve">0,00</w:t>
            </w:r>
          </w:p>
        </w:tc>
        <w:tc>
          <w:tcPr>
            <w:tcW w:w="1164" w:type="dxa"/>
          </w:tcPr>
          <w:p>
            <w:pPr>
              <w:pStyle w:val="0"/>
              <w:jc w:val="center"/>
            </w:pPr>
            <w:r>
              <w:rPr>
                <w:sz w:val="24"/>
              </w:rPr>
              <w:t xml:space="preserve">0,00</w:t>
            </w:r>
          </w:p>
        </w:tc>
        <w:tc>
          <w:tcPr>
            <w:tcW w:w="1165" w:type="dxa"/>
          </w:tcPr>
          <w:p>
            <w:pPr>
              <w:pStyle w:val="0"/>
              <w:jc w:val="center"/>
            </w:pPr>
            <w:r>
              <w:rPr>
                <w:sz w:val="24"/>
              </w:rPr>
              <w:t xml:space="preserve">96,80</w:t>
            </w:r>
          </w:p>
        </w:tc>
        <w:tc>
          <w:tcPr>
            <w:tcW w:w="1134" w:type="dxa"/>
          </w:tcPr>
          <w:p>
            <w:pPr>
              <w:pStyle w:val="0"/>
              <w:jc w:val="center"/>
            </w:pPr>
            <w:r>
              <w:rPr>
                <w:sz w:val="24"/>
              </w:rPr>
              <w:t xml:space="preserve">96,80</w:t>
            </w:r>
          </w:p>
        </w:tc>
        <w:tc>
          <w:tcPr>
            <w:tcW w:w="1008" w:type="dxa"/>
          </w:tcPr>
          <w:p>
            <w:pPr>
              <w:pStyle w:val="0"/>
              <w:jc w:val="center"/>
            </w:pPr>
            <w:r>
              <w:rPr>
                <w:sz w:val="24"/>
              </w:rPr>
              <w:t xml:space="preserve">0</w:t>
            </w:r>
          </w:p>
        </w:tc>
        <w:tc>
          <w:tcPr>
            <w:tcW w:w="1008" w:type="dxa"/>
          </w:tcPr>
          <w:p>
            <w:pPr>
              <w:pStyle w:val="0"/>
              <w:jc w:val="center"/>
            </w:pPr>
            <w:r>
              <w:rPr>
                <w:sz w:val="24"/>
              </w:rPr>
              <w:t xml:space="preserve">0</w:t>
            </w:r>
          </w:p>
        </w:tc>
        <w:tc>
          <w:tcPr>
            <w:tcW w:w="1008" w:type="dxa"/>
          </w:tcPr>
          <w:p>
            <w:pPr>
              <w:pStyle w:val="0"/>
              <w:jc w:val="center"/>
            </w:pPr>
            <w:r>
              <w:rPr>
                <w:sz w:val="24"/>
              </w:rPr>
              <w:t xml:space="preserve">5</w:t>
            </w:r>
          </w:p>
        </w:tc>
        <w:tc>
          <w:tcPr>
            <w:tcW w:w="1011" w:type="dxa"/>
          </w:tcPr>
          <w:p>
            <w:pPr>
              <w:pStyle w:val="0"/>
              <w:jc w:val="center"/>
            </w:pPr>
            <w:r>
              <w:rPr>
                <w:sz w:val="24"/>
              </w:rPr>
              <w:t xml:space="preserve">5</w:t>
            </w:r>
          </w:p>
        </w:tc>
      </w:tr>
      <w:tr>
        <w:tc>
          <w:tcPr>
            <w:tcW w:w="585" w:type="dxa"/>
          </w:tcPr>
          <w:p>
            <w:pPr>
              <w:pStyle w:val="0"/>
              <w:jc w:val="both"/>
            </w:pPr>
            <w:r>
              <w:rPr>
                <w:sz w:val="24"/>
              </w:rPr>
              <w:t xml:space="preserve">6</w:t>
            </w:r>
          </w:p>
        </w:tc>
        <w:tc>
          <w:tcPr>
            <w:tcW w:w="3742" w:type="dxa"/>
          </w:tcPr>
          <w:p>
            <w:pPr>
              <w:pStyle w:val="0"/>
              <w:jc w:val="both"/>
            </w:pPr>
            <w:r>
              <w:rPr>
                <w:sz w:val="24"/>
              </w:rPr>
              <w:t xml:space="preserve">Итого по Савинскому городскому поселению Савинского муниципального района</w:t>
            </w:r>
          </w:p>
        </w:tc>
        <w:tc>
          <w:tcPr>
            <w:tcW w:w="1164" w:type="dxa"/>
          </w:tcPr>
          <w:p>
            <w:pPr>
              <w:pStyle w:val="0"/>
              <w:jc w:val="center"/>
            </w:pPr>
            <w:r>
              <w:rPr>
                <w:sz w:val="24"/>
              </w:rPr>
              <w:t xml:space="preserve">0,00</w:t>
            </w:r>
          </w:p>
        </w:tc>
        <w:tc>
          <w:tcPr>
            <w:tcW w:w="1164" w:type="dxa"/>
          </w:tcPr>
          <w:p>
            <w:pPr>
              <w:pStyle w:val="0"/>
              <w:jc w:val="center"/>
            </w:pPr>
            <w:r>
              <w:rPr>
                <w:sz w:val="24"/>
              </w:rPr>
              <w:t xml:space="preserve">0,00</w:t>
            </w:r>
          </w:p>
        </w:tc>
        <w:tc>
          <w:tcPr>
            <w:tcW w:w="1165" w:type="dxa"/>
          </w:tcPr>
          <w:p>
            <w:pPr>
              <w:pStyle w:val="0"/>
              <w:jc w:val="center"/>
            </w:pPr>
            <w:r>
              <w:rPr>
                <w:sz w:val="24"/>
              </w:rPr>
              <w:t xml:space="preserve">313,30</w:t>
            </w:r>
          </w:p>
        </w:tc>
        <w:tc>
          <w:tcPr>
            <w:tcW w:w="1134" w:type="dxa"/>
          </w:tcPr>
          <w:p>
            <w:pPr>
              <w:pStyle w:val="0"/>
              <w:jc w:val="center"/>
            </w:pPr>
            <w:r>
              <w:rPr>
                <w:sz w:val="24"/>
              </w:rPr>
              <w:t xml:space="preserve">313,30</w:t>
            </w:r>
          </w:p>
        </w:tc>
        <w:tc>
          <w:tcPr>
            <w:tcW w:w="1008" w:type="dxa"/>
          </w:tcPr>
          <w:p>
            <w:pPr>
              <w:pStyle w:val="0"/>
              <w:jc w:val="center"/>
            </w:pPr>
            <w:r>
              <w:rPr>
                <w:sz w:val="24"/>
              </w:rPr>
              <w:t xml:space="preserve">0</w:t>
            </w:r>
          </w:p>
        </w:tc>
        <w:tc>
          <w:tcPr>
            <w:tcW w:w="1008" w:type="dxa"/>
          </w:tcPr>
          <w:p>
            <w:pPr>
              <w:pStyle w:val="0"/>
              <w:jc w:val="center"/>
            </w:pPr>
            <w:r>
              <w:rPr>
                <w:sz w:val="24"/>
              </w:rPr>
              <w:t xml:space="preserve">0</w:t>
            </w:r>
          </w:p>
        </w:tc>
        <w:tc>
          <w:tcPr>
            <w:tcW w:w="1008" w:type="dxa"/>
          </w:tcPr>
          <w:p>
            <w:pPr>
              <w:pStyle w:val="0"/>
              <w:jc w:val="center"/>
            </w:pPr>
            <w:r>
              <w:rPr>
                <w:sz w:val="24"/>
              </w:rPr>
              <w:t xml:space="preserve">11</w:t>
            </w:r>
          </w:p>
        </w:tc>
        <w:tc>
          <w:tcPr>
            <w:tcW w:w="1011" w:type="dxa"/>
          </w:tcPr>
          <w:p>
            <w:pPr>
              <w:pStyle w:val="0"/>
              <w:jc w:val="center"/>
            </w:pPr>
            <w:r>
              <w:rPr>
                <w:sz w:val="24"/>
              </w:rPr>
              <w:t xml:space="preserve">11</w:t>
            </w:r>
          </w:p>
        </w:tc>
      </w:tr>
      <w:tr>
        <w:tc>
          <w:tcPr>
            <w:tcW w:w="585" w:type="dxa"/>
          </w:tcPr>
          <w:p>
            <w:pPr>
              <w:pStyle w:val="0"/>
              <w:jc w:val="both"/>
            </w:pPr>
            <w:r>
              <w:rPr>
                <w:sz w:val="24"/>
              </w:rPr>
              <w:t xml:space="preserve">7</w:t>
            </w:r>
          </w:p>
        </w:tc>
        <w:tc>
          <w:tcPr>
            <w:tcW w:w="3742" w:type="dxa"/>
          </w:tcPr>
          <w:p>
            <w:pPr>
              <w:pStyle w:val="0"/>
              <w:jc w:val="both"/>
            </w:pPr>
            <w:r>
              <w:rPr>
                <w:sz w:val="24"/>
              </w:rPr>
              <w:t xml:space="preserve">Итого по Фурмановскому городскому поселению Фурмановского муниципального района</w:t>
            </w:r>
          </w:p>
        </w:tc>
        <w:tc>
          <w:tcPr>
            <w:tcW w:w="1164" w:type="dxa"/>
          </w:tcPr>
          <w:p>
            <w:pPr>
              <w:pStyle w:val="0"/>
              <w:jc w:val="center"/>
            </w:pPr>
            <w:r>
              <w:rPr>
                <w:sz w:val="24"/>
              </w:rPr>
              <w:t xml:space="preserve">0,00</w:t>
            </w:r>
          </w:p>
        </w:tc>
        <w:tc>
          <w:tcPr>
            <w:tcW w:w="1164" w:type="dxa"/>
          </w:tcPr>
          <w:p>
            <w:pPr>
              <w:pStyle w:val="0"/>
              <w:jc w:val="center"/>
            </w:pPr>
            <w:r>
              <w:rPr>
                <w:sz w:val="24"/>
              </w:rPr>
              <w:t xml:space="preserve">0,00</w:t>
            </w:r>
          </w:p>
        </w:tc>
        <w:tc>
          <w:tcPr>
            <w:tcW w:w="1165" w:type="dxa"/>
          </w:tcPr>
          <w:p>
            <w:pPr>
              <w:pStyle w:val="0"/>
              <w:jc w:val="center"/>
            </w:pPr>
            <w:r>
              <w:rPr>
                <w:sz w:val="24"/>
              </w:rPr>
              <w:t xml:space="preserve">348,80</w:t>
            </w:r>
          </w:p>
        </w:tc>
        <w:tc>
          <w:tcPr>
            <w:tcW w:w="1134" w:type="dxa"/>
          </w:tcPr>
          <w:p>
            <w:pPr>
              <w:pStyle w:val="0"/>
              <w:jc w:val="center"/>
            </w:pPr>
            <w:r>
              <w:rPr>
                <w:sz w:val="24"/>
              </w:rPr>
              <w:t xml:space="preserve">348,80</w:t>
            </w:r>
          </w:p>
        </w:tc>
        <w:tc>
          <w:tcPr>
            <w:tcW w:w="1008" w:type="dxa"/>
          </w:tcPr>
          <w:p>
            <w:pPr>
              <w:pStyle w:val="0"/>
              <w:jc w:val="center"/>
            </w:pPr>
            <w:r>
              <w:rPr>
                <w:sz w:val="24"/>
              </w:rPr>
              <w:t xml:space="preserve">0</w:t>
            </w:r>
          </w:p>
        </w:tc>
        <w:tc>
          <w:tcPr>
            <w:tcW w:w="1008" w:type="dxa"/>
          </w:tcPr>
          <w:p>
            <w:pPr>
              <w:pStyle w:val="0"/>
              <w:jc w:val="center"/>
            </w:pPr>
            <w:r>
              <w:rPr>
                <w:sz w:val="24"/>
              </w:rPr>
              <w:t xml:space="preserve">0</w:t>
            </w:r>
          </w:p>
        </w:tc>
        <w:tc>
          <w:tcPr>
            <w:tcW w:w="1008" w:type="dxa"/>
          </w:tcPr>
          <w:p>
            <w:pPr>
              <w:pStyle w:val="0"/>
              <w:jc w:val="center"/>
            </w:pPr>
            <w:r>
              <w:rPr>
                <w:sz w:val="24"/>
              </w:rPr>
              <w:t xml:space="preserve">19</w:t>
            </w:r>
          </w:p>
        </w:tc>
        <w:tc>
          <w:tcPr>
            <w:tcW w:w="1011" w:type="dxa"/>
          </w:tcPr>
          <w:p>
            <w:pPr>
              <w:pStyle w:val="0"/>
              <w:jc w:val="center"/>
            </w:pPr>
            <w:r>
              <w:rPr>
                <w:sz w:val="24"/>
              </w:rPr>
              <w:t xml:space="preserve">19</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118"/>
      <w:headerReference w:type="first" r:id="rId118"/>
      <w:footerReference w:type="default" r:id="rId119"/>
      <w:footerReference w:type="first" r:id="rId119"/>
      <w:pgSz w:w="16838" w:h="11906" w:orient="landscape"/>
      <w:pgMar w:top="1133" w:right="397" w:bottom="566" w:left="397"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Ивановской области от 03.06.2024 N 232-п</w:t>
            <w:br/>
            <w:t>(ред. от 22.05.2026)</w:t>
            <w:br/>
            <w:t>"Об утверждении региональной 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Ивановской области от 03.06.2024 N 232-п</w:t>
            <w:br/>
            <w:t>(ред. от 22.05.2026)</w:t>
            <w:br/>
            <w:t>"Об утверждении региональной 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24&amp;n=192099&amp;date=30.09.2026&amp;dst=100005&amp;field=134" TargetMode = "External"/><Relationship Id="rId9" Type="http://schemas.openxmlformats.org/officeDocument/2006/relationships/hyperlink" Target="https://login.consultant.ru/link/?req=doc&amp;base=RLAW224&amp;n=196799&amp;date=30.09.2026&amp;dst=100005&amp;field=134" TargetMode = "External"/><Relationship Id="rId10" Type="http://schemas.openxmlformats.org/officeDocument/2006/relationships/hyperlink" Target="https://login.consultant.ru/link/?req=doc&amp;base=RLAW224&amp;n=200807&amp;date=30.09.2026&amp;dst=100005&amp;field=134" TargetMode = "External"/><Relationship Id="rId11" Type="http://schemas.openxmlformats.org/officeDocument/2006/relationships/hyperlink" Target="https://login.consultant.ru/link/?req=doc&amp;base=RLAW224&amp;n=203463&amp;date=30.09.2026&amp;dst=100005&amp;field=134" TargetMode = "External"/><Relationship Id="rId12" Type="http://schemas.openxmlformats.org/officeDocument/2006/relationships/hyperlink" Target="https://login.consultant.ru/link/?req=doc&amp;base=LAW&amp;n=523264&amp;date=30.09.2026&amp;dst=100830&amp;field=134" TargetMode = "External"/><Relationship Id="rId13" Type="http://schemas.openxmlformats.org/officeDocument/2006/relationships/hyperlink" Target="https://login.consultant.ru/link/?req=doc&amp;base=LAW&amp;n=528828&amp;date=30.09.2026&amp;dst=100058&amp;field=134" TargetMode = "External"/><Relationship Id="rId14" Type="http://schemas.openxmlformats.org/officeDocument/2006/relationships/hyperlink" Target="https://login.consultant.ru/link/?req=doc&amp;base=RLAW224&amp;n=196799&amp;date=30.09.2026&amp;dst=100006&amp;field=134" TargetMode = "External"/><Relationship Id="rId15" Type="http://schemas.openxmlformats.org/officeDocument/2006/relationships/hyperlink" Target="https://login.consultant.ru/link/?req=doc&amp;base=RLAW224&amp;n=192099&amp;date=30.09.2026&amp;dst=100006&amp;field=134" TargetMode = "External"/><Relationship Id="rId16" Type="http://schemas.openxmlformats.org/officeDocument/2006/relationships/hyperlink" Target="https://login.consultant.ru/link/?req=doc&amp;base=RLAW224&amp;n=196799&amp;date=30.09.2026&amp;dst=100007&amp;field=134" TargetMode = "External"/><Relationship Id="rId17" Type="http://schemas.openxmlformats.org/officeDocument/2006/relationships/hyperlink" Target="https://login.consultant.ru/link/?req=doc&amp;base=RLAW224&amp;n=200807&amp;date=30.09.2026&amp;dst=100006&amp;field=134" TargetMode = "External"/><Relationship Id="rId18" Type="http://schemas.openxmlformats.org/officeDocument/2006/relationships/hyperlink" Target="https://login.consultant.ru/link/?req=doc&amp;base=RLAW224&amp;n=203463&amp;date=30.09.2026&amp;dst=100006&amp;field=134" TargetMode = "External"/><Relationship Id="rId19" Type="http://schemas.openxmlformats.org/officeDocument/2006/relationships/hyperlink" Target="https://login.consultant.ru/link/?req=doc&amp;base=LAW&amp;n=523264&amp;date=30.09.2026" TargetMode = "External"/><Relationship Id="rId20" Type="http://schemas.openxmlformats.org/officeDocument/2006/relationships/hyperlink" Target="https://login.consultant.ru/link/?req=doc&amp;base=LAW&amp;n=528828&amp;date=30.09.2026" TargetMode = "External"/><Relationship Id="rId21" Type="http://schemas.openxmlformats.org/officeDocument/2006/relationships/hyperlink" Target="https://login.consultant.ru/link/?req=doc&amp;base=RLAW224&amp;n=196799&amp;date=30.09.2026&amp;dst=100010&amp;field=134" TargetMode = "External"/><Relationship Id="rId22" Type="http://schemas.openxmlformats.org/officeDocument/2006/relationships/hyperlink" Target="https://login.consultant.ru/link/?req=doc&amp;base=RLAW224&amp;n=196799&amp;date=30.09.2026&amp;dst=100008&amp;field=134" TargetMode = "External"/><Relationship Id="rId23" Type="http://schemas.openxmlformats.org/officeDocument/2006/relationships/hyperlink" Target="https://login.consultant.ru/link/?req=doc&amp;base=RLAW224&amp;n=200807&amp;date=30.09.2026&amp;dst=100008&amp;field=134" TargetMode = "External"/><Relationship Id="rId24" Type="http://schemas.openxmlformats.org/officeDocument/2006/relationships/hyperlink" Target="https://login.consultant.ru/link/?req=doc&amp;base=RLAW224&amp;n=196799&amp;date=30.09.2026&amp;dst=100008&amp;field=134" TargetMode = "External"/><Relationship Id="rId25" Type="http://schemas.openxmlformats.org/officeDocument/2006/relationships/hyperlink" Target="https://login.consultant.ru/link/?req=doc&amp;base=RLAW224&amp;n=200807&amp;date=30.09.2026&amp;dst=100009&amp;field=134" TargetMode = "External"/><Relationship Id="rId26" Type="http://schemas.openxmlformats.org/officeDocument/2006/relationships/hyperlink" Target="https://login.consultant.ru/link/?req=doc&amp;base=RLAW224&amp;n=196799&amp;date=30.09.2026&amp;dst=100011&amp;field=134" TargetMode = "External"/><Relationship Id="rId27" Type="http://schemas.openxmlformats.org/officeDocument/2006/relationships/hyperlink" Target="https://login.consultant.ru/link/?req=doc&amp;base=RLAW224&amp;n=203463&amp;date=30.09.2026&amp;dst=100008&amp;field=134" TargetMode = "External"/><Relationship Id="rId28" Type="http://schemas.openxmlformats.org/officeDocument/2006/relationships/hyperlink" Target="https://login.consultant.ru/link/?req=doc&amp;base=RLAW224&amp;n=203463&amp;date=30.09.2026&amp;dst=100028&amp;field=134" TargetMode = "External"/><Relationship Id="rId29" Type="http://schemas.openxmlformats.org/officeDocument/2006/relationships/hyperlink" Target="https://login.consultant.ru/link/?req=doc&amp;base=RLAW224&amp;n=196799&amp;date=30.09.2026&amp;dst=100031&amp;field=134" TargetMode = "External"/><Relationship Id="rId30" Type="http://schemas.openxmlformats.org/officeDocument/2006/relationships/hyperlink" Target="https://login.consultant.ru/link/?req=doc&amp;base=RLAW224&amp;n=203463&amp;date=30.09.2026&amp;dst=100031&amp;field=134" TargetMode = "External"/><Relationship Id="rId31" Type="http://schemas.openxmlformats.org/officeDocument/2006/relationships/hyperlink" Target="https://login.consultant.ru/link/?req=doc&amp;base=RLAW224&amp;n=196799&amp;date=30.09.2026&amp;dst=100033&amp;field=134" TargetMode = "External"/><Relationship Id="rId32" Type="http://schemas.openxmlformats.org/officeDocument/2006/relationships/hyperlink" Target="https://login.consultant.ru/link/?req=doc&amp;base=RLAW224&amp;n=203463&amp;date=30.09.2026&amp;dst=100032&amp;field=134" TargetMode = "External"/><Relationship Id="rId33" Type="http://schemas.openxmlformats.org/officeDocument/2006/relationships/hyperlink" Target="https://login.consultant.ru/link/?req=doc&amp;base=RLAW224&amp;n=192099&amp;date=30.09.2026&amp;dst=100022&amp;field=134" TargetMode = "External"/><Relationship Id="rId34" Type="http://schemas.openxmlformats.org/officeDocument/2006/relationships/hyperlink" Target="https://login.consultant.ru/link/?req=doc&amp;base=RLAW224&amp;n=196799&amp;date=30.09.2026&amp;dst=100008&amp;field=134" TargetMode = "External"/><Relationship Id="rId35" Type="http://schemas.openxmlformats.org/officeDocument/2006/relationships/hyperlink" Target="https://login.consultant.ru/link/?req=doc&amp;base=RLAW224&amp;n=200807&amp;date=30.09.2026&amp;dst=100030&amp;field=134" TargetMode = "External"/><Relationship Id="rId36" Type="http://schemas.openxmlformats.org/officeDocument/2006/relationships/hyperlink" Target="https://login.consultant.ru/link/?req=doc&amp;base=RLAW224&amp;n=203463&amp;date=30.09.2026&amp;dst=100033&amp;field=134" TargetMode = "External"/><Relationship Id="rId37" Type="http://schemas.openxmlformats.org/officeDocument/2006/relationships/hyperlink" Target="https://login.consultant.ru/link/?req=doc&amp;base=LAW&amp;n=184603&amp;date=30.09.2026" TargetMode = "External"/><Relationship Id="rId38" Type="http://schemas.openxmlformats.org/officeDocument/2006/relationships/hyperlink" Target="https://login.consultant.ru/link/?req=doc&amp;base=RLAW224&amp;n=196799&amp;date=30.09.2026&amp;dst=100008&amp;field=134" TargetMode = "External"/><Relationship Id="rId39" Type="http://schemas.openxmlformats.org/officeDocument/2006/relationships/hyperlink" Target="https://login.consultant.ru/link/?req=doc&amp;base=RLAW224&amp;n=200807&amp;date=30.09.2026&amp;dst=100032&amp;field=134" TargetMode = "External"/><Relationship Id="rId40" Type="http://schemas.openxmlformats.org/officeDocument/2006/relationships/hyperlink" Target="https://login.consultant.ru/link/?req=doc&amp;base=LAW&amp;n=523264&amp;date=30.09.2026&amp;dst=100881&amp;field=134" TargetMode = "External"/><Relationship Id="rId41" Type="http://schemas.openxmlformats.org/officeDocument/2006/relationships/hyperlink" Target="https://login.consultant.ru/link/?req=doc&amp;base=LAW&amp;n=449927&amp;date=30.09.2026&amp;dst=101600&amp;field=134" TargetMode = "External"/><Relationship Id="rId42" Type="http://schemas.openxmlformats.org/officeDocument/2006/relationships/hyperlink" Target="https://login.consultant.ru/link/?req=doc&amp;base=RLAW224&amp;n=196799&amp;date=30.09.2026&amp;dst=100008&amp;field=134" TargetMode = "External"/><Relationship Id="rId43" Type="http://schemas.openxmlformats.org/officeDocument/2006/relationships/hyperlink" Target="https://login.consultant.ru/link/?req=doc&amp;base=RLAW224&amp;n=200807&amp;date=30.09.2026&amp;dst=100034&amp;field=134" TargetMode = "External"/><Relationship Id="rId44" Type="http://schemas.openxmlformats.org/officeDocument/2006/relationships/hyperlink" Target="https://login.consultant.ru/link/?req=doc&amp;base=RLAW224&amp;n=196799&amp;date=30.09.2026&amp;dst=100008&amp;field=134" TargetMode = "External"/><Relationship Id="rId45" Type="http://schemas.openxmlformats.org/officeDocument/2006/relationships/hyperlink" Target="https://login.consultant.ru/link/?req=doc&amp;base=RLAW224&amp;n=203463&amp;date=30.09.2026&amp;dst=100035&amp;field=134" TargetMode = "External"/><Relationship Id="rId46" Type="http://schemas.openxmlformats.org/officeDocument/2006/relationships/hyperlink" Target="https://login.consultant.ru/link/?req=doc&amp;base=RLAW224&amp;n=203463&amp;date=30.09.2026&amp;dst=100036&amp;field=134" TargetMode = "External"/><Relationship Id="rId47" Type="http://schemas.openxmlformats.org/officeDocument/2006/relationships/hyperlink" Target="https://login.consultant.ru/link/?req=doc&amp;base=RLAW224&amp;n=203463&amp;date=30.09.2026&amp;dst=100038&amp;field=134" TargetMode = "External"/><Relationship Id="rId48" Type="http://schemas.openxmlformats.org/officeDocument/2006/relationships/hyperlink" Target="https://login.consultant.ru/link/?req=doc&amp;base=RLAW224&amp;n=200807&amp;date=30.09.2026&amp;dst=100035&amp;field=134" TargetMode = "External"/><Relationship Id="rId49" Type="http://schemas.openxmlformats.org/officeDocument/2006/relationships/hyperlink" Target="https://login.consultant.ru/link/?req=doc&amp;base=LAW&amp;n=449927&amp;date=30.09.2026&amp;dst=101570&amp;field=134" TargetMode = "External"/><Relationship Id="rId50" Type="http://schemas.openxmlformats.org/officeDocument/2006/relationships/hyperlink" Target="https://login.consultant.ru/link/?req=doc&amp;base=RLAW224&amp;n=196799&amp;date=30.09.2026&amp;dst=100008&amp;field=134" TargetMode = "External"/><Relationship Id="rId51" Type="http://schemas.openxmlformats.org/officeDocument/2006/relationships/hyperlink" Target="https://login.consultant.ru/link/?req=doc&amp;base=RLAW224&amp;n=200807&amp;date=30.09.2026&amp;dst=100038&amp;field=134" TargetMode = "External"/><Relationship Id="rId52" Type="http://schemas.openxmlformats.org/officeDocument/2006/relationships/hyperlink" Target="https://login.consultant.ru/link/?req=doc&amp;base=RLAW224&amp;n=200807&amp;date=30.09.2026&amp;dst=100039&amp;field=134" TargetMode = "External"/><Relationship Id="rId53" Type="http://schemas.openxmlformats.org/officeDocument/2006/relationships/hyperlink" Target="https://login.consultant.ru/link/?req=doc&amp;base=RLAW224&amp;n=196799&amp;date=30.09.2026&amp;dst=100045&amp;field=134" TargetMode = "External"/><Relationship Id="rId54" Type="http://schemas.openxmlformats.org/officeDocument/2006/relationships/hyperlink" Target="https://login.consultant.ru/link/?req=doc&amp;base=RLAW224&amp;n=200807&amp;date=30.09.2026&amp;dst=100039&amp;field=134" TargetMode = "External"/><Relationship Id="rId55" Type="http://schemas.openxmlformats.org/officeDocument/2006/relationships/hyperlink" Target="https://login.consultant.ru/link/?req=doc&amp;base=LAW&amp;n=527341&amp;date=30.09.2026" TargetMode = "External"/><Relationship Id="rId56" Type="http://schemas.openxmlformats.org/officeDocument/2006/relationships/hyperlink" Target="https://login.consultant.ru/link/?req=doc&amp;base=RLAW224&amp;n=196799&amp;date=30.09.2026&amp;dst=100046&amp;field=134" TargetMode = "External"/><Relationship Id="rId57" Type="http://schemas.openxmlformats.org/officeDocument/2006/relationships/hyperlink" Target="https://login.consultant.ru/link/?req=doc&amp;base=LAW&amp;n=541112&amp;date=30.09.2026" TargetMode = "External"/><Relationship Id="rId58" Type="http://schemas.openxmlformats.org/officeDocument/2006/relationships/hyperlink" Target="https://login.consultant.ru/link/?req=doc&amp;base=LAW&amp;n=471020&amp;date=30.09.2026" TargetMode = "External"/><Relationship Id="rId59" Type="http://schemas.openxmlformats.org/officeDocument/2006/relationships/hyperlink" Target="https://login.consultant.ru/link/?req=doc&amp;base=LAW&amp;n=517181&amp;date=30.09.2026" TargetMode = "External"/><Relationship Id="rId60" Type="http://schemas.openxmlformats.org/officeDocument/2006/relationships/hyperlink" Target="https://login.consultant.ru/link/?req=doc&amp;base=STR&amp;n=29176&amp;date=30.09.2026" TargetMode = "External"/><Relationship Id="rId61" Type="http://schemas.openxmlformats.org/officeDocument/2006/relationships/hyperlink" Target="https://login.consultant.ru/link/?req=doc&amp;base=LAW&amp;n=220621&amp;date=30.09.2026" TargetMode = "External"/><Relationship Id="rId62" Type="http://schemas.openxmlformats.org/officeDocument/2006/relationships/hyperlink" Target="https://login.consultant.ru/link/?req=doc&amp;base=STR&amp;n=34874&amp;date=30.09.2026" TargetMode = "External"/><Relationship Id="rId63" Type="http://schemas.openxmlformats.org/officeDocument/2006/relationships/hyperlink" Target="https://login.consultant.ru/link/?req=doc&amp;base=LAW&amp;n=421242&amp;date=30.09.2026" TargetMode = "External"/><Relationship Id="rId64" Type="http://schemas.openxmlformats.org/officeDocument/2006/relationships/hyperlink" Target="https://login.consultant.ru/link/?req=doc&amp;base=STR&amp;n=34820&amp;date=30.09.2026" TargetMode = "External"/><Relationship Id="rId65" Type="http://schemas.openxmlformats.org/officeDocument/2006/relationships/hyperlink" Target="https://login.consultant.ru/link/?req=doc&amp;base=LAW&amp;n=378331&amp;date=30.09.2026" TargetMode = "External"/><Relationship Id="rId66" Type="http://schemas.openxmlformats.org/officeDocument/2006/relationships/hyperlink" Target="https://login.consultant.ru/link/?req=doc&amp;base=STR&amp;n=34821&amp;date=30.09.2026" TargetMode = "External"/><Relationship Id="rId67" Type="http://schemas.openxmlformats.org/officeDocument/2006/relationships/hyperlink" Target="https://login.consultant.ru/link/?req=doc&amp;base=LAW&amp;n=302272&amp;date=30.09.2026" TargetMode = "External"/><Relationship Id="rId68" Type="http://schemas.openxmlformats.org/officeDocument/2006/relationships/hyperlink" Target="https://login.consultant.ru/link/?req=doc&amp;base=STR&amp;n=33228&amp;date=30.09.2026" TargetMode = "External"/><Relationship Id="rId69" Type="http://schemas.openxmlformats.org/officeDocument/2006/relationships/hyperlink" Target="https://login.consultant.ru/link/?req=doc&amp;base=LAW&amp;n=220618&amp;date=30.09.2026" TargetMode = "External"/><Relationship Id="rId70" Type="http://schemas.openxmlformats.org/officeDocument/2006/relationships/hyperlink" Target="https://login.consultant.ru/link/?req=doc&amp;base=LAW&amp;n=518761&amp;date=30.09.2026&amp;dst=100012&amp;field=134" TargetMode = "External"/><Relationship Id="rId71" Type="http://schemas.openxmlformats.org/officeDocument/2006/relationships/hyperlink" Target="https://login.consultant.ru/link/?req=doc&amp;base=LAW&amp;n=465997&amp;date=30.09.2026&amp;dst=100002&amp;field=134" TargetMode = "External"/><Relationship Id="rId72" Type="http://schemas.openxmlformats.org/officeDocument/2006/relationships/hyperlink" Target="https://login.consultant.ru/link/?req=doc&amp;base=STR&amp;n=30538&amp;date=30.09.2026" TargetMode = "External"/><Relationship Id="rId73" Type="http://schemas.openxmlformats.org/officeDocument/2006/relationships/hyperlink" Target="https://login.consultant.ru/link/?req=doc&amp;base=LAW&amp;n=275619&amp;date=30.09.2026" TargetMode = "External"/><Relationship Id="rId74" Type="http://schemas.openxmlformats.org/officeDocument/2006/relationships/hyperlink" Target="https://login.consultant.ru/link/?req=doc&amp;base=STR&amp;n=34261&amp;date=30.09.2026" TargetMode = "External"/><Relationship Id="rId75" Type="http://schemas.openxmlformats.org/officeDocument/2006/relationships/hyperlink" Target="https://login.consultant.ru/link/?req=doc&amp;base=LAW&amp;n=237606&amp;date=30.09.2026" TargetMode = "External"/><Relationship Id="rId76" Type="http://schemas.openxmlformats.org/officeDocument/2006/relationships/hyperlink" Target="https://login.consultant.ru/link/?req=doc&amp;base=STR&amp;n=33689&amp;date=30.09.2026" TargetMode = "External"/><Relationship Id="rId77" Type="http://schemas.openxmlformats.org/officeDocument/2006/relationships/hyperlink" Target="https://login.consultant.ru/link/?req=doc&amp;base=LAW&amp;n=278521&amp;date=30.09.2026" TargetMode = "External"/><Relationship Id="rId78" Type="http://schemas.openxmlformats.org/officeDocument/2006/relationships/hyperlink" Target="https://login.consultant.ru/link/?req=doc&amp;base=STR&amp;n=28550&amp;date=30.09.2026" TargetMode = "External"/><Relationship Id="rId79" Type="http://schemas.openxmlformats.org/officeDocument/2006/relationships/hyperlink" Target="https://login.consultant.ru/link/?req=doc&amp;base=STR&amp;n=16267&amp;date=30.09.2026" TargetMode = "External"/><Relationship Id="rId80" Type="http://schemas.openxmlformats.org/officeDocument/2006/relationships/hyperlink" Target="https://login.consultant.ru/link/?req=doc&amp;base=STR&amp;n=35015&amp;date=30.09.2026" TargetMode = "External"/><Relationship Id="rId81" Type="http://schemas.openxmlformats.org/officeDocument/2006/relationships/hyperlink" Target="https://login.consultant.ru/link/?req=doc&amp;base=STR&amp;n=16508&amp;date=30.09.2026" TargetMode = "External"/><Relationship Id="rId82" Type="http://schemas.openxmlformats.org/officeDocument/2006/relationships/hyperlink" Target="https://login.consultant.ru/link/?req=doc&amp;base=STR&amp;n=30026&amp;date=30.09.2026" TargetMode = "External"/><Relationship Id="rId83" Type="http://schemas.openxmlformats.org/officeDocument/2006/relationships/hyperlink" Target="https://login.consultant.ru/link/?req=doc&amp;base=LAW&amp;n=273838&amp;date=30.09.2026" TargetMode = "External"/><Relationship Id="rId84" Type="http://schemas.openxmlformats.org/officeDocument/2006/relationships/hyperlink" Target="https://login.consultant.ru/link/?req=doc&amp;base=STR&amp;n=30538&amp;date=30.09.2026" TargetMode = "External"/><Relationship Id="rId85" Type="http://schemas.openxmlformats.org/officeDocument/2006/relationships/hyperlink" Target="https://login.consultant.ru/link/?req=doc&amp;base=LAW&amp;n=275619&amp;date=30.09.2026" TargetMode = "External"/><Relationship Id="rId86" Type="http://schemas.openxmlformats.org/officeDocument/2006/relationships/hyperlink" Target="https://login.consultant.ru/link/?req=doc&amp;base=STR&amp;n=33194&amp;date=30.09.2026" TargetMode = "External"/><Relationship Id="rId87" Type="http://schemas.openxmlformats.org/officeDocument/2006/relationships/hyperlink" Target="https://login.consultant.ru/link/?req=doc&amp;base=LAW&amp;n=473740&amp;date=30.09.2026" TargetMode = "External"/><Relationship Id="rId88" Type="http://schemas.openxmlformats.org/officeDocument/2006/relationships/hyperlink" Target="https://login.consultant.ru/link/?req=doc&amp;base=LAW&amp;n=517341&amp;date=30.09.2026&amp;dst=100137&amp;field=134" TargetMode = "External"/><Relationship Id="rId89" Type="http://schemas.openxmlformats.org/officeDocument/2006/relationships/hyperlink" Target="https://login.consultant.ru/link/?req=doc&amp;base=STR&amp;n=25933&amp;date=30.09.2026" TargetMode = "External"/><Relationship Id="rId90" Type="http://schemas.openxmlformats.org/officeDocument/2006/relationships/hyperlink" Target="https://login.consultant.ru/link/?req=doc&amp;base=LAW&amp;n=356982&amp;date=30.09.2026" TargetMode = "External"/><Relationship Id="rId91" Type="http://schemas.openxmlformats.org/officeDocument/2006/relationships/hyperlink" Target="https://login.consultant.ru/link/?req=doc&amp;base=LAW&amp;n=285393&amp;date=30.09.2026&amp;dst=100011&amp;field=134" TargetMode = "External"/><Relationship Id="rId92" Type="http://schemas.openxmlformats.org/officeDocument/2006/relationships/hyperlink" Target="https://login.consultant.ru/link/?req=doc&amp;base=LAW&amp;n=527704&amp;date=30.09.2026&amp;dst=100041&amp;field=134" TargetMode = "External"/><Relationship Id="rId93" Type="http://schemas.openxmlformats.org/officeDocument/2006/relationships/hyperlink" Target="https://login.consultant.ru/link/?req=doc&amp;base=RLAW224&amp;n=196799&amp;date=30.09.2026&amp;dst=100008&amp;field=134" TargetMode = "External"/><Relationship Id="rId94" Type="http://schemas.openxmlformats.org/officeDocument/2006/relationships/hyperlink" Target="https://login.consultant.ru/link/?req=doc&amp;base=LAW&amp;n=203089&amp;date=30.09.2026&amp;dst=100012&amp;field=134" TargetMode = "External"/><Relationship Id="rId95" Type="http://schemas.openxmlformats.org/officeDocument/2006/relationships/hyperlink" Target="https://login.consultant.ru/link/?req=doc&amp;base=LAW&amp;n=203089&amp;date=30.09.2026&amp;dst=100172&amp;field=134" TargetMode = "External"/><Relationship Id="rId96" Type="http://schemas.openxmlformats.org/officeDocument/2006/relationships/hyperlink" Target="https://login.consultant.ru/link/?req=doc&amp;base=LAW&amp;n=500914&amp;date=30.09.2026&amp;dst=100081&amp;field=134" TargetMode = "External"/><Relationship Id="rId97" Type="http://schemas.openxmlformats.org/officeDocument/2006/relationships/hyperlink" Target="https://login.consultant.ru/link/?req=doc&amp;base=LAW&amp;n=500914&amp;date=30.09.2026&amp;dst=100090&amp;field=134" TargetMode = "External"/><Relationship Id="rId98" Type="http://schemas.openxmlformats.org/officeDocument/2006/relationships/hyperlink" Target="https://login.consultant.ru/link/?req=doc&amp;base=LAW&amp;n=527638&amp;date=30.09.2026" TargetMode = "External"/><Relationship Id="rId99" Type="http://schemas.openxmlformats.org/officeDocument/2006/relationships/hyperlink" Target="https://login.consultant.ru/link/?req=doc&amp;base=STR&amp;n=30538&amp;date=30.09.2026" TargetMode = "External"/><Relationship Id="rId100" Type="http://schemas.openxmlformats.org/officeDocument/2006/relationships/hyperlink" Target="https://login.consultant.ru/link/?req=doc&amp;base=LAW&amp;n=527341&amp;date=30.09.2026&amp;dst=100247&amp;field=134" TargetMode = "External"/><Relationship Id="rId101" Type="http://schemas.openxmlformats.org/officeDocument/2006/relationships/hyperlink" Target="https://login.consultant.ru/link/?req=doc&amp;base=LAW&amp;n=527341&amp;date=30.09.2026&amp;dst=100551&amp;field=134" TargetMode = "External"/><Relationship Id="rId102" Type="http://schemas.openxmlformats.org/officeDocument/2006/relationships/hyperlink" Target="https://login.consultant.ru/link/?req=doc&amp;base=LAW&amp;n=527341&amp;date=30.09.2026&amp;dst=100560&amp;field=134" TargetMode = "External"/><Relationship Id="rId103" Type="http://schemas.openxmlformats.org/officeDocument/2006/relationships/hyperlink" Target="https://login.consultant.ru/link/?req=doc&amp;base=RLAW224&amp;n=196799&amp;date=30.09.2026&amp;dst=100008&amp;field=134" TargetMode = "External"/><Relationship Id="rId104" Type="http://schemas.openxmlformats.org/officeDocument/2006/relationships/hyperlink" Target="https://login.consultant.ru/link/?req=doc&amp;base=RLAW224&amp;n=200807&amp;date=30.09.2026&amp;dst=100040&amp;field=134" TargetMode = "External"/><Relationship Id="rId105" Type="http://schemas.openxmlformats.org/officeDocument/2006/relationships/hyperlink" Target="https://login.consultant.ru/link/?req=doc&amp;base=RLAW224&amp;n=196799&amp;date=30.09.2026&amp;dst=100049&amp;field=134" TargetMode = "External"/><Relationship Id="rId106" Type="http://schemas.openxmlformats.org/officeDocument/2006/relationships/hyperlink" Target="https://login.consultant.ru/link/?req=doc&amp;base=RLAW224&amp;n=203463&amp;date=30.09.2026&amp;dst=100040&amp;field=134" TargetMode = "External"/><Relationship Id="rId107" Type="http://schemas.openxmlformats.org/officeDocument/2006/relationships/hyperlink" Target="https://login.consultant.ru/link/?req=doc&amp;base=LAW&amp;n=465278&amp;date=30.09.2026" TargetMode = "External"/><Relationship Id="rId108" Type="http://schemas.openxmlformats.org/officeDocument/2006/relationships/hyperlink" Target="https://login.consultant.ru/link/?req=doc&amp;base=RLAW224&amp;n=196799&amp;date=30.09.2026&amp;dst=100051&amp;field=134" TargetMode = "External"/><Relationship Id="rId109" Type="http://schemas.openxmlformats.org/officeDocument/2006/relationships/hyperlink" Target="https://login.consultant.ru/link/?req=doc&amp;base=RLAW224&amp;n=196799&amp;date=30.09.2026&amp;dst=100052&amp;field=134" TargetMode = "External"/><Relationship Id="rId110" Type="http://schemas.openxmlformats.org/officeDocument/2006/relationships/hyperlink" Target="https://login.consultant.ru/link/?req=doc&amp;base=RLAW224&amp;n=203463&amp;date=30.09.2026&amp;dst=100041&amp;field=134" TargetMode = "External"/><Relationship Id="rId111" Type="http://schemas.openxmlformats.org/officeDocument/2006/relationships/hyperlink" Target="https://login.consultant.ru/link/?req=doc&amp;base=RLAW224&amp;n=196799&amp;date=30.09.2026&amp;dst=100055&amp;field=134" TargetMode = "External"/><Relationship Id="rId112" Type="http://schemas.openxmlformats.org/officeDocument/2006/relationships/hyperlink" Target="https://login.consultant.ru/link/?req=doc&amp;base=RLAW224&amp;n=203463&amp;date=30.09.2026&amp;dst=100043&amp;field=134" TargetMode = "External"/><Relationship Id="rId113" Type="http://schemas.openxmlformats.org/officeDocument/2006/relationships/hyperlink" Target="https://login.consultant.ru/link/?req=doc&amp;base=RLAW224&amp;n=192099&amp;date=30.09.2026&amp;dst=100023&amp;field=134" TargetMode = "External"/><Relationship Id="rId114" Type="http://schemas.openxmlformats.org/officeDocument/2006/relationships/hyperlink" Target="https://login.consultant.ru/link/?req=doc&amp;base=RLAW224&amp;n=196799&amp;date=30.09.2026&amp;dst=100008&amp;field=134" TargetMode = "External"/><Relationship Id="rId115" Type="http://schemas.openxmlformats.org/officeDocument/2006/relationships/hyperlink" Target="https://login.consultant.ru/link/?req=doc&amp;base=RLAW224&amp;n=200807&amp;date=30.09.2026&amp;dst=100042&amp;field=134" TargetMode = "External"/><Relationship Id="rId116" Type="http://schemas.openxmlformats.org/officeDocument/2006/relationships/hyperlink" Target="https://login.consultant.ru/link/?req=doc&amp;base=RLAW224&amp;n=203463&amp;date=30.09.2026&amp;dst=100045&amp;field=134" TargetMode = "External"/><Relationship Id="rId117" Type="http://schemas.openxmlformats.org/officeDocument/2006/relationships/hyperlink" Target="https://login.consultant.ru/link/?req=doc&amp;base=RLAW224&amp;n=203463&amp;date=30.09.2026&amp;dst=100049&amp;field=134" TargetMode = "External"/><Relationship Id="rId118" Type="http://schemas.openxmlformats.org/officeDocument/2006/relationships/header" Target="header2.xml"/><Relationship Id="rId119" Type="http://schemas.openxmlformats.org/officeDocument/2006/relationships/footer" Target="footer2.xml"/><Relationship Id="rId120" Type="http://schemas.openxmlformats.org/officeDocument/2006/relationships/hyperlink" Target="https://login.consultant.ru/link/?req=doc&amp;base=RLAW224&amp;n=203463&amp;date=30.09.2026&amp;dst=100743&amp;field=134" TargetMode = "External"/><Relationship Id="rId121" Type="http://schemas.openxmlformats.org/officeDocument/2006/relationships/hyperlink" Target="https://login.consultant.ru/link/?req=doc&amp;base=RLAW224&amp;n=203463&amp;date=30.09.2026&amp;dst=101283&amp;field=134" TargetMode = "External"/><Relationship Id="rId122" Type="http://schemas.openxmlformats.org/officeDocument/2006/relationships/hyperlink" Target="https://login.consultant.ru/link/?req=doc&amp;base=RLAW224&amp;n=203463&amp;date=30.09.2026&amp;dst=10163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Ивановской области от 03.06.2024 N 232-п
(ред. от 22.05.2026)
"Об утверждении региональной адресной программы "Переселение граждан из аварийного жилищного фонда на территории Ивановской области на 2024 - 2030 годы"</dc:title>
  <dcterms:created xsi:type="dcterms:W3CDTF">2026-09-30T13:03:00Z</dcterms:created>
</cp:coreProperties>
</file>