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bookmarkStart w:id="0" w:name="_GoBack"/>
      <w:bookmarkEnd w:id="0"/>
      <w:r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.11.2024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ОБЪЯВЛЕНИЕ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проведении отбора получателей </w:t>
      </w:r>
      <w:r>
        <w:rPr>
          <w:rFonts w:cs="Times New Roman" w:ascii="Times New Roman" w:hAnsi="Times New Roman"/>
          <w:b/>
          <w:sz w:val="28"/>
          <w:szCs w:val="28"/>
        </w:rPr>
        <w:t>субсидий теплоснабжающим организациям на 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202020"/>
          <w:sz w:val="28"/>
          <w:szCs w:val="28"/>
        </w:rPr>
        <w:t xml:space="preserve">В соответствии с разделом 2 Порядка </w:t>
      </w:r>
      <w:r>
        <w:rPr>
          <w:rFonts w:cs="Times New Roman" w:ascii="Times New Roman" w:hAnsi="Times New Roman"/>
          <w:sz w:val="28"/>
          <w:szCs w:val="28"/>
        </w:rPr>
        <w:t>предоставления субсидий теплоснабжающим организациям на 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дома,</w:t>
      </w:r>
      <w:r>
        <w:rPr>
          <w:rFonts w:cs="Times New Roman" w:ascii="Times New Roman" w:hAnsi="Times New Roman"/>
          <w:bCs/>
          <w:color w:val="2020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утвержденного постановлением Правительства Ивановской области от 22.05.2015 № 211-п (далее – Порядок), Департамент жилищно-коммунального хозяйства Ивановской области объявляет проведение отбора получателей субсидий теплоснабжающим организациям на 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(далее – отбор, участник отбора, субсидия) </w:t>
      </w:r>
      <w:r>
        <w:rPr>
          <w:rFonts w:cs="Times New Roman" w:ascii="Times New Roman" w:hAnsi="Times New Roman"/>
          <w:sz w:val="28"/>
          <w:szCs w:val="28"/>
          <w:u w:val="single"/>
        </w:rPr>
        <w:t>за январь-октябрь 2024 года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Дата начала подачи заявок участников отбора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с 09-00 (по московскому времени) 29 ноября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Дата окончания приема заявок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 18-00 (по московскому времени) 04 декабря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Наименование, местонахождение, почтовый адрес, адрес электронной почты Департамента ЖКХ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Наименование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Департамент жилищно-коммунального хозяйства Ивановской области (далее – Департамент ЖКХ).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Местонахождение (почтовый адрес) Департамента ЖКХ: </w:t>
        <w:br/>
        <w:t>153000, г. Иваново, пл. Революции, д. 2/1.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Адрес электронной почты Департамента ЖКХ: dgkh@ivreg.ru.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Результат предоставления субсидии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 предоставления субсидии - обеспечено возмещение стоимости коммунальной услуги по отоплению жилищного фонда и приготовлению горячей воды с использованием внутридомовых инженерных систем многоквартирного дома, рассчитанной с применением льготного тарифа на тепловую энергию (мощность), в многоквартирных (жилых) домах.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Доменное имя и (или) указатели страниц государственной информационной системы в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информационно-телекоммуникационной </w:t>
      </w:r>
      <w:r>
        <w:rPr>
          <w:rFonts w:cs="Times New Roman" w:ascii="Times New Roman" w:hAnsi="Times New Roman"/>
          <w:b/>
          <w:sz w:val="28"/>
          <w:szCs w:val="28"/>
        </w:rPr>
        <w:t>сети Интернет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Проведение отбора получателей субсидии обеспечивается на официальном сайте Департамента ЖКХ в информационно-телекоммуникационной сети Интернет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">
        <w:r>
          <w:rPr>
            <w:rStyle w:val="Hyperlink"/>
            <w:rFonts w:cs="Times New Roman" w:ascii="Times New Roman" w:hAnsi="Times New Roman"/>
            <w:bCs/>
            <w:sz w:val="28"/>
            <w:szCs w:val="28"/>
          </w:rPr>
          <w:t>https://gkh.ivanovoobl.ru/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участникам отбора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Требования, которым должны соответствовать участники отбора </w:t>
        <w:br/>
        <w:t xml:space="preserve">на 1 число месяца, в котором в Департамент ЖКХ представляются документы, указанные в </w:t>
      </w:r>
      <w:hyperlink r:id="rId3">
        <w:r>
          <w:rPr>
            <w:rStyle w:val="ListLabel2"/>
            <w:rFonts w:cs="Times New Roman" w:ascii="Times New Roman" w:hAnsi="Times New Roman"/>
            <w:bCs/>
            <w:sz w:val="28"/>
            <w:szCs w:val="28"/>
          </w:rPr>
          <w:t>пункте 2.7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Порядка: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4">
        <w:r>
          <w:rPr>
            <w:rStyle w:val="ListLabel3"/>
            <w:rFonts w:cs="Times New Roman" w:ascii="Times New Roman" w:hAnsi="Times New Roman"/>
            <w:sz w:val="28"/>
            <w:szCs w:val="28"/>
          </w:rPr>
          <w:t>перечень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в) получатель субсидии (участник отбора) не находится в составляемых в рамках реализации полномочий, предусмотренных </w:t>
      </w:r>
      <w:hyperlink r:id="rId5">
        <w:r>
          <w:rPr>
            <w:rStyle w:val="ListLabel3"/>
            <w:rFonts w:cs="Times New Roman" w:ascii="Times New Roman" w:hAnsi="Times New Roman"/>
            <w:sz w:val="28"/>
            <w:szCs w:val="28"/>
          </w:rPr>
          <w:t>главой VII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г) получатель субсидии (участник отбора) не получает средства из бюджета Ивановской области на основании иных нормативных правовых актов Ивановской области с целью возмещения теплоснабжающим организациям недополученных доходов, возникающих в результате установления лицам, указанным в </w:t>
      </w:r>
      <w:hyperlink r:id="rId6">
        <w:r>
          <w:rPr>
            <w:rStyle w:val="ListLabel3"/>
            <w:rFonts w:cs="Times New Roman" w:ascii="Times New Roman" w:hAnsi="Times New Roman"/>
            <w:sz w:val="28"/>
            <w:szCs w:val="28"/>
          </w:rPr>
          <w:t>статье 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Закона Ивановской области от 09.12.2014 № 103-ОЗ «О льготных тарифах на тепловую энергию на территории Ивановской области», льготных тарифов на тепловую энергию (мощность);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д) получатель субсидии (участник отбора) не является иностранным агентом в соответствии с Федеральным </w:t>
      </w:r>
      <w:hyperlink r:id="rId7">
        <w:r>
          <w:rPr>
            <w:rStyle w:val="ListLabel3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14.07.2022 № 255-ФЗ </w:t>
        <w:br/>
        <w:t>«О контроле за деятельностью лиц, находящихся под иностранным влиянием».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Иные требования к участникам отбора, которым должны соответствовать участники отбора на дату подачи документов для участия в отборе: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а) участник отбора должен являться юридическим лицом любой организационно-правовой формы (за исключением государственных (муниципальных) учреждений) или индивидуальным предпринимателем, оказывающим услуги на территории Ивановской области и предоставившим в 2024 году тепловую энергию льготным потребителям по льготным тарифам на тепловую энергию (мощность) в установленном законодательством Российской Федерации порядке;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б) у участника отбора должен быть льготный тариф на тепловую энергию (мощность), установленный Департаментом энергетики и тарифов Ивановской области в соответствии с законодательством Российской Федерации;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в) у участника отбора должна отсутствовать задолженность в части необеспеченного возврата бюджетных средств в виде субсидий, выявленных и установленных к возврату в областной бюджет по итогам проверки Департаментом ЖКХ или органом государственного финансового контроля Ивановской области.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перечню документов, представляемых участниками отбора для подтверждения соответствия требованиям к участникам отбора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Копии представляемых документов заверяются подписью руководителя или лица, имеющего право подписи на основании доверенности, которая также прилагается, и печатью юридического лица (при наличии печати).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к перечню документов, представляемых участниками отбора, должны соответствовать пункту 2.7 Порядка.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Критерии отбора получателей субсидии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Соответствие участника отбора требованиям, установленным </w:t>
      </w:r>
      <w:hyperlink r:id="rId8">
        <w:r>
          <w:rPr>
            <w:rStyle w:val="ListLabel2"/>
            <w:rFonts w:cs="Times New Roman" w:ascii="Times New Roman" w:hAnsi="Times New Roman"/>
            <w:bCs/>
            <w:sz w:val="28"/>
            <w:szCs w:val="28"/>
          </w:rPr>
          <w:t>пунктами 2.4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и </w:t>
      </w:r>
      <w:hyperlink r:id="rId9">
        <w:r>
          <w:rPr>
            <w:rStyle w:val="ListLabel2"/>
            <w:rFonts w:cs="Times New Roman" w:ascii="Times New Roman" w:hAnsi="Times New Roman"/>
            <w:bCs/>
            <w:sz w:val="28"/>
            <w:szCs w:val="28"/>
          </w:rPr>
          <w:t>2.5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Порядка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подачи участниками отбора заявок и требования, предъявляемые к форме и содержанию заявок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" w:name="Par0"/>
      <w:bookmarkStart w:id="2" w:name="Par0"/>
      <w:bookmarkEnd w:id="2"/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формирования и подачи участниками отбора заявок, внесения в них изменений: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 отбора подает заявку по форме, установленной приказом Департамента ЖКХ, в сроки, установленные объявлением о проведении отбора.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Датой представления участником отбора заявки считается день получения Департаментом ЖКХ документов, указанных в </w:t>
      </w:r>
      <w:hyperlink r:id="rId10">
        <w:r>
          <w:rPr>
            <w:rStyle w:val="ListLabel3"/>
            <w:rFonts w:cs="Times New Roman" w:ascii="Times New Roman" w:hAnsi="Times New Roman"/>
            <w:sz w:val="28"/>
            <w:szCs w:val="28"/>
          </w:rPr>
          <w:t>пункте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Порядка, которые регистрируются в журнале регистрации, который нумеруется, прошнуровывается и скрепляется печатью Департамента ЖКХ.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Внесение изменений в заявку или отзыв заявки осуществляется участником отбора в порядке, аналогичном порядку формирования заявок участниками отбора, указанному в </w:t>
      </w:r>
      <w:hyperlink r:id="rId11">
        <w:r>
          <w:rPr>
            <w:rStyle w:val="ListLabel2"/>
            <w:rFonts w:cs="Times New Roman" w:ascii="Times New Roman" w:hAnsi="Times New Roman"/>
            <w:bCs/>
            <w:sz w:val="28"/>
            <w:szCs w:val="28"/>
          </w:rPr>
          <w:t>подпункте 2.10.1 пункта 2.10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Порядка.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Возврат заявки участника отбора на доработку осуществляется Департаментом ЖКХ не позднее 2 рабочих дней до истечения срока подачи заявок с указанием основания для возврата заявки на доработку.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После устранения причин, послуживших основанием для возврата заявки на доработку, участник отбора до истечения срока подачи заявок направляет скорректированную заявку в порядке, установленном </w:t>
      </w:r>
      <w:hyperlink r:id="rId12">
        <w:r>
          <w:rPr>
            <w:rStyle w:val="ListLabel2"/>
            <w:rFonts w:cs="Times New Roman" w:ascii="Times New Roman" w:hAnsi="Times New Roman"/>
            <w:bCs/>
            <w:sz w:val="28"/>
            <w:szCs w:val="28"/>
          </w:rPr>
          <w:t>пунктом 2.10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Порядка.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Основания для возврата заявки на доработку: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а) непредставление (представление не в полном объеме) документов, указанных в </w:t>
      </w:r>
      <w:hyperlink r:id="rId13">
        <w:r>
          <w:rPr>
            <w:rStyle w:val="ListLabel2"/>
            <w:rFonts w:cs="Times New Roman" w:ascii="Times New Roman" w:hAnsi="Times New Roman"/>
            <w:bCs/>
            <w:sz w:val="28"/>
            <w:szCs w:val="28"/>
          </w:rPr>
          <w:t>пункте 2.7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Порядка;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б) несоответствие представленных участником отбора заявки и (или) документов требованиям, предусмотренных Порядком.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рассмотрения и оценки заявок участников отбора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рассмотрения и оценки заявок, а также определения победителей отбора: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Рассмотрение Департаментом ЖКХ документов, предусмотренных </w:t>
      </w:r>
      <w:hyperlink r:id="rId14">
        <w:r>
          <w:rPr>
            <w:rStyle w:val="ListLabel3"/>
            <w:rFonts w:cs="Times New Roman" w:ascii="Times New Roman" w:hAnsi="Times New Roman"/>
            <w:sz w:val="28"/>
            <w:szCs w:val="28"/>
          </w:rPr>
          <w:t>пунктом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Порядка, представленных участниками отбора, в том числе проверка документов, подтверждающих соответствие участника отбора требованиям, устанавливаемым в соответствии с </w:t>
      </w:r>
      <w:hyperlink r:id="rId15">
        <w:r>
          <w:rPr>
            <w:rStyle w:val="ListLabel3"/>
            <w:rFonts w:cs="Times New Roman" w:ascii="Times New Roman" w:hAnsi="Times New Roman"/>
            <w:sz w:val="28"/>
            <w:szCs w:val="28"/>
          </w:rPr>
          <w:t>пунктами 2.4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16">
        <w:r>
          <w:rPr>
            <w:rStyle w:val="ListLabel3"/>
            <w:rFonts w:cs="Times New Roman" w:ascii="Times New Roman" w:hAnsi="Times New Roman"/>
            <w:sz w:val="28"/>
            <w:szCs w:val="28"/>
          </w:rPr>
          <w:t>2.5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Порядка, принятие решения по результатам их рассмотрения осуществляется не более 21 рабочего дня со дня, следующего за днем окончания срока подачи заявок, указанного в объявлении о проведении отбора.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В день получения документов, указанных в </w:t>
      </w:r>
      <w:hyperlink r:id="rId17">
        <w:r>
          <w:rPr>
            <w:rStyle w:val="ListLabel3"/>
            <w:rFonts w:cs="Times New Roman" w:ascii="Times New Roman" w:hAnsi="Times New Roman"/>
            <w:sz w:val="28"/>
            <w:szCs w:val="28"/>
          </w:rPr>
          <w:t>пункте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Порядка, осуществляется их регистрация в порядке поступления в журнале регистрации, который нумеруется, прошнуровывается и скрепляется печатью Департамента ЖКХ.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Департамент ЖКХ в течение 3 рабочих дней со дня получения документов, представленных участниками отбора в соответствии с </w:t>
      </w:r>
      <w:hyperlink r:id="rId18">
        <w:r>
          <w:rPr>
            <w:rStyle w:val="ListLabel3"/>
            <w:rFonts w:cs="Times New Roman" w:ascii="Times New Roman" w:hAnsi="Times New Roman"/>
            <w:sz w:val="28"/>
            <w:szCs w:val="28"/>
          </w:rPr>
          <w:t>пунктом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Порядка,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"/>
      <w:bookmarkEnd w:id="3"/>
      <w:r>
        <w:rPr>
          <w:rFonts w:cs="Times New Roman" w:ascii="Times New Roman" w:hAnsi="Times New Roman"/>
          <w:sz w:val="28"/>
          <w:szCs w:val="28"/>
        </w:rPr>
        <w:t>сведения из Единого государственного реестра юридических лиц (для юридических лиц);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"/>
      <w:bookmarkEnd w:id="4"/>
      <w:r>
        <w:rPr>
          <w:rFonts w:cs="Times New Roman" w:ascii="Times New Roman" w:hAnsi="Times New Roman"/>
          <w:sz w:val="28"/>
          <w:szCs w:val="28"/>
        </w:rPr>
        <w:t>сведения из Единого государственного реестра индивидуальных предпринимателей (для индивидуальных предпринимателей).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Участники отбора вправе представить документы, содержащие сведения, указанные в </w:t>
      </w:r>
      <w:hyperlink w:anchor="Par4">
        <w:r>
          <w:rPr>
            <w:rStyle w:val="ListLabel3"/>
            <w:rFonts w:cs="Times New Roman" w:ascii="Times New Roman" w:hAnsi="Times New Roman"/>
            <w:sz w:val="28"/>
            <w:szCs w:val="28"/>
          </w:rPr>
          <w:t>абзацах втором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w:anchor="Par5">
        <w:r>
          <w:rPr>
            <w:rStyle w:val="ListLabel3"/>
            <w:rFonts w:cs="Times New Roman" w:ascii="Times New Roman" w:hAnsi="Times New Roman"/>
            <w:sz w:val="28"/>
            <w:szCs w:val="28"/>
          </w:rPr>
          <w:t>третьем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пункта, по собственной инициативе.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Департамент ЖКХ рассматривает документы, полученные в соответствии с </w:t>
      </w:r>
      <w:hyperlink r:id="rId19">
        <w:r>
          <w:rPr>
            <w:rStyle w:val="ListLabel3"/>
            <w:rFonts w:cs="Times New Roman" w:ascii="Times New Roman" w:hAnsi="Times New Roman"/>
            <w:sz w:val="28"/>
            <w:szCs w:val="28"/>
          </w:rPr>
          <w:t>пунктами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w:anchor="Par3">
        <w:r>
          <w:rPr>
            <w:rStyle w:val="ListLabel3"/>
            <w:rFonts w:cs="Times New Roman" w:ascii="Times New Roman" w:hAnsi="Times New Roman"/>
            <w:sz w:val="28"/>
            <w:szCs w:val="28"/>
          </w:rPr>
          <w:t>2.12.3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Порядка. По результатам их рассмотрения Департамент ЖКХ принимает одно из следующих решений путем оформления протокола подведения итогов отбора: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прохождении отбора получателей субсидий и предоставлении субсидии;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отклонении заявки участника отбора.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принятия решения о прохождении отбора получателей субсидий и предоставлении субсидии Департамент ЖКХ: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издает приказ о перечислении субсидии с приложением реестра получателей субсидии в срок, не превышающий 3 рабочих дней со дня принятия решения о прохождении отбора получателей субсидии и предоставлении субсидии;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заключает соглашение с получателем субсидии в порядке, установленном </w:t>
      </w:r>
      <w:hyperlink r:id="rId20">
        <w:r>
          <w:rPr>
            <w:rStyle w:val="ListLabel3"/>
            <w:rFonts w:cs="Times New Roman" w:ascii="Times New Roman" w:hAnsi="Times New Roman"/>
            <w:sz w:val="28"/>
            <w:szCs w:val="28"/>
          </w:rPr>
          <w:t>пунктом 3.4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принятия решения об отклонении заявки участника отбора Департамент ЖКХ в течение 5 рабочих дней со дня принятия указанного решения направляет участнику отбора письменное уведомление об отклонении заявки участника отбора с указанием причин для отклонения заявки в соответствии с основаниями, установленными </w:t>
      </w:r>
      <w:hyperlink w:anchor="Par18">
        <w:r>
          <w:rPr>
            <w:rStyle w:val="ListLabel3"/>
            <w:rFonts w:cs="Times New Roman" w:ascii="Times New Roman" w:hAnsi="Times New Roman"/>
            <w:sz w:val="28"/>
            <w:szCs w:val="28"/>
          </w:rPr>
          <w:t>пунктом 2.13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Решение о прохождении отбора принимается с учетом очередности поступления и регистрации представленных документов в журнале регистрации.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Объем субсидии, распределяемый в рамках отбора, определенный объявлением о проведении отбора, распределяется между участниками отбора следующим способом: каждому участнику отбора, признанному победителем отбора, распределяется объем субсидии исходя из очередности поступления заявок.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недостаточности объема бюджетных ассигнований для предоставления субсидии победителям отбора субсидии предоставляются участнику (участкам) отбора, подавшему (подавшим) заявку (заявки) в первую очередь.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Количество победителей отбора не ограничено.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Основания для отклонения заявки участника отбора на стадии рассмотрения заявки: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а) несоответствие участника отбора требованиям, установленным </w:t>
      </w:r>
      <w:hyperlink r:id="rId21">
        <w:r>
          <w:rPr>
            <w:rStyle w:val="ListLabel3"/>
            <w:rFonts w:cs="Times New Roman" w:ascii="Times New Roman" w:hAnsi="Times New Roman"/>
            <w:sz w:val="28"/>
            <w:szCs w:val="28"/>
          </w:rPr>
          <w:t>пунктами 2.4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22">
        <w:r>
          <w:rPr>
            <w:rStyle w:val="ListLabel3"/>
            <w:rFonts w:cs="Times New Roman" w:ascii="Times New Roman" w:hAnsi="Times New Roman"/>
            <w:sz w:val="28"/>
            <w:szCs w:val="28"/>
          </w:rPr>
          <w:t>2.5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непредставление (представление не в полном объеме) документов, указанных в объявлении о проведении отбора, предусмотренных Порядком;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Порядком;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установление факта недостоверности предоставленной участником отбора информации;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подача участником отбора заявки после даты и (или) времени, определенных для подачи заявок.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Отклонение заявки не является препятствием для повторного направления участником отбора заявки в случае устранения причин, послуживших основанием для отклонения заявки участника отбора.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Повторное направление заявки после устранения причин, послуживших основанием для отклонения заявки, и последующее рассмотрение заявки осуществляются в порядке, установленном </w:t>
      </w:r>
      <w:hyperlink r:id="rId23">
        <w:r>
          <w:rPr>
            <w:rStyle w:val="ListLabel3"/>
            <w:rFonts w:cs="Times New Roman" w:ascii="Times New Roman" w:hAnsi="Times New Roman"/>
            <w:sz w:val="28"/>
            <w:szCs w:val="28"/>
          </w:rPr>
          <w:t>пунктами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- </w:t>
      </w:r>
      <w:hyperlink w:anchor="Par0">
        <w:r>
          <w:rPr>
            <w:rStyle w:val="ListLabel3"/>
            <w:rFonts w:cs="Times New Roman" w:ascii="Times New Roman" w:hAnsi="Times New Roman"/>
            <w:sz w:val="28"/>
            <w:szCs w:val="28"/>
          </w:rPr>
          <w:t>2.12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результатах рассмотрения заявок участников отбора (протокол подведения итогов отбора) размещается на едином портале, а также на официальном сайте Департамента ЖКХ в информационно-телекоммуникационной сети Интернет в срок, который не может быть позднее 5 календарных дней, следующего за днем определения победителя отбора.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включает следующие сведения: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дату, время и место проведения рассмотрения заявок;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информацию об участниках отбора, заявки которых были рассмотрены;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возврата заявок на доработку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Возврат заявки участника отбора на доработку осуществляется Департаментом ЖКХ не позднее 2 рабочих дней до истечения срока подачи заявок с указанием основания для возврата заявки на доработку.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После устранения причин, послуживших основанием для возврата заявки на доработку, участник отбора до истечения срока подачи заявок направляет скорректированную заявку в порядке, установленном </w:t>
      </w:r>
      <w:hyperlink r:id="rId24">
        <w:r>
          <w:rPr>
            <w:rStyle w:val="ListLabel2"/>
            <w:rFonts w:cs="Times New Roman" w:ascii="Times New Roman" w:hAnsi="Times New Roman"/>
            <w:bCs/>
            <w:sz w:val="28"/>
            <w:szCs w:val="28"/>
          </w:rPr>
          <w:t>пунктом 2.10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Порядка.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Основания для возврата заявки на доработку: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а) непредставление (представление не в полном объеме) документов, указанных в </w:t>
      </w:r>
      <w:hyperlink r:id="rId25">
        <w:r>
          <w:rPr>
            <w:rStyle w:val="ListLabel2"/>
            <w:rFonts w:cs="Times New Roman" w:ascii="Times New Roman" w:hAnsi="Times New Roman"/>
            <w:bCs/>
            <w:sz w:val="28"/>
            <w:szCs w:val="28"/>
          </w:rPr>
          <w:t>пункте 2.7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Порядка;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б) несоответствие представленных участником отбора заявки и (или) документов требованиям, предусмотренных Порядком.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отклонения заявок, а также информация об основаниях их отклонения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Основания для отклонения заявки участника отбора на стадии рассмотрения заявки: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а) несоответствие участника отбора требованиям, установленным </w:t>
      </w:r>
      <w:hyperlink r:id="rId26">
        <w:r>
          <w:rPr>
            <w:rStyle w:val="ListLabel3"/>
            <w:rFonts w:cs="Times New Roman" w:ascii="Times New Roman" w:hAnsi="Times New Roman"/>
            <w:sz w:val="28"/>
            <w:szCs w:val="28"/>
          </w:rPr>
          <w:t>пунктами 2.4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27">
        <w:r>
          <w:rPr>
            <w:rStyle w:val="ListLabel3"/>
            <w:rFonts w:cs="Times New Roman" w:ascii="Times New Roman" w:hAnsi="Times New Roman"/>
            <w:sz w:val="28"/>
            <w:szCs w:val="28"/>
          </w:rPr>
          <w:t>2.5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непредставление (представление не в полном объеме) документов, указанных в объявлении о проведении отбора, предусмотренных Порядком;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Порядком;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установление факта недостоверности предоставленной участником отбора информации;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подача участником отбора заявки после даты и (или) времени, определенных для подачи заявок.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Объем распределяемой субсидии в рамках отбора, порядок расчета размера субсидии, правила распределения субсидии по результатам отбора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Предоставление субсидий осуществляется в пределах объема бюджетных ассигнований, предусмотренных на эти цели в областном бюджете на соответствующий финансовый год (соответствующий финансовый год и плановый период), и лимитов бюджетных обязательств, утвержденных главному распорядителю как получателю бюджетных средств - Департаменту жилищно-коммунального хозяйства Ивановской области.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 субсидии определяется по формуле: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3829050" cy="600075"/>
            <wp:effectExtent l="0" t="0" r="0" b="0"/>
            <wp:docPr id="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false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ti - система теплоснабжения i-го получателя субсидии и (или) несколько систем теплоснабжения, для которых утверждены единый для этих систем теплоснабжения тариф на тепловую энергию (мощность) и единый для этих систем теплоснабжения льготный тариф на тепловую энергию (мощность) (далее - объединение систем теплоснабжения);</w:t>
      </w:r>
    </w:p>
    <w:p>
      <w:pPr>
        <w:pStyle w:val="Normal"/>
        <w:suppressAutoHyphens w:val="false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 - количество систем теплоснабжения i-го получателя субсидии и (или) объединений систем теплоснабжения i-го получателя субсидии;</w:t>
      </w:r>
    </w:p>
    <w:p>
      <w:pPr>
        <w:pStyle w:val="Normal"/>
        <w:suppressAutoHyphens w:val="false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</w:t>
      </w:r>
      <w:r>
        <w:rPr>
          <w:rFonts w:cs="Times New Roman" w:ascii="Times New Roman" w:hAnsi="Times New Roman"/>
          <w:sz w:val="28"/>
          <w:szCs w:val="28"/>
          <w:vertAlign w:val="subscript"/>
        </w:rPr>
        <w:t>mсо.ti</w:t>
      </w:r>
      <w:r>
        <w:rPr>
          <w:rFonts w:cs="Times New Roman" w:ascii="Times New Roman" w:hAnsi="Times New Roman"/>
          <w:sz w:val="28"/>
          <w:szCs w:val="28"/>
        </w:rPr>
        <w:t xml:space="preserve"> - величина тарифа на тепловую энергию (мощность), руб./Гкал (без НДС);</w:t>
      </w:r>
    </w:p>
    <w:p>
      <w:pPr>
        <w:pStyle w:val="Normal"/>
        <w:suppressAutoHyphens w:val="false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</w:t>
      </w:r>
      <w:r>
        <w:rPr>
          <w:rFonts w:cs="Times New Roman" w:ascii="Times New Roman" w:hAnsi="Times New Roman"/>
          <w:sz w:val="28"/>
          <w:szCs w:val="28"/>
          <w:vertAlign w:val="subscript"/>
        </w:rPr>
        <w:t>нас.ti</w:t>
      </w:r>
      <w:r>
        <w:rPr>
          <w:rFonts w:cs="Times New Roman" w:ascii="Times New Roman" w:hAnsi="Times New Roman"/>
          <w:sz w:val="28"/>
          <w:szCs w:val="28"/>
        </w:rPr>
        <w:t xml:space="preserve"> - величина льготного тарифа на тепловую энергию (мощность), руб./Гкал (без НДС);</w:t>
      </w:r>
    </w:p>
    <w:p>
      <w:pPr>
        <w:pStyle w:val="Normal"/>
        <w:suppressAutoHyphens w:val="false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</w:t>
      </w:r>
      <w:r>
        <w:rPr>
          <w:rFonts w:cs="Times New Roman" w:ascii="Times New Roman" w:hAnsi="Times New Roman"/>
          <w:sz w:val="28"/>
          <w:szCs w:val="28"/>
          <w:vertAlign w:val="subscript"/>
        </w:rPr>
        <w:t>оmп.ti</w:t>
      </w:r>
      <w:r>
        <w:rPr>
          <w:rFonts w:cs="Times New Roman" w:ascii="Times New Roman" w:hAnsi="Times New Roman"/>
          <w:sz w:val="28"/>
          <w:szCs w:val="28"/>
        </w:rPr>
        <w:t xml:space="preserve"> - фактический объем тепловой энергии на нужды населения, определяемый в соответствии с данными бухгалтерского учета получателя субсидии (реестр потребителей коммунальной услуги по теплоснабжению) с момента вступления в силу тарифа на тепловую энергию (мощность) и льготного тарифа на тепловую энергию (мощность), Гкал.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 субсидии, распределяемый в рамках отбора, определенный объявлением о проведении отбора, распределяется между участниками отбора следующим способом: каждому участнику отбора, признанному победителем отбора, распределяется объем субсидии исходя из очередности поступления заявок.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недостаточности объема бюджетных ассигнований для предоставления субсидии победителям отбора субсидии предоставляются участнику (участкам) отбора, подавшему (подавшим) заявку (заявки) в первую очередь.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Количество победителей отбора не ограничено.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Любой участник отбора с момента размещения объявления о проведении отбора на едином портале, а также на официальном сайте Департамента ЖКХ в информационно-телекоммуникационной сети Интернет не позднее дня завершения подачи заявок участников отбора вправе направить Департаменту ЖКХ не более чем три запроса о разъяснении положений объявления о проведении отбора на адрес электронной почты (dgkh@ivreg.ru), с последующим подтверждением на бумажном носителе.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Департамент ЖКХ в ответ на запрос, указанный в настоящем пункте, направляет разъяснение положений объявления о проведении отбора получателей субсидий не позднее 1 рабочего дня до дня завершения подачи заявок на адрес электронной почты участника отбора с последующим подтверждением на бумажном носителе или иным способом, указанным участником отбора в запросе. Представленное Департаментом ЖКХ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Срок, в течение которого победитель (победители) отбора должен (должны) подписать соглашение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результатам отбора с победителем (победителями) отбора заключается соглашение в соответствии с </w:t>
      </w:r>
      <w:hyperlink r:id="rId29">
        <w:r>
          <w:rPr>
            <w:rStyle w:val="ListLabel3"/>
            <w:rFonts w:cs="Times New Roman" w:ascii="Times New Roman" w:hAnsi="Times New Roman"/>
            <w:sz w:val="28"/>
            <w:szCs w:val="28"/>
          </w:rPr>
          <w:t>пунктом 3.4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Победитель (победители) отбора должен (должны) подписать соглашение в срок, не превышающий 3 рабочих дней со дня, следующего за днем размещения на едином портале, а также на официальном сайте Департамента ЖКХ в информационно-телекоммуникационной сети Интернет протокола подведения итогов отбора.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Условия признания победителя (победителей) отбора уклонившимся от заключения соглашения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Победитель отбора признается уклонившимся от заключения соглашения в случае неподписания соглашения в срок, не превышающий </w:t>
        <w:br/>
        <w:t>3 рабочих дней со дня, следующего за днем размещения на едином портале, а также на официальном сайте Департамента ЖКХ в информационно-телекоммуникационной сети Интернет протокола подведения итогов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Сроки размещения протокола подведения итогов отбора </w:t>
        <w:br/>
        <w:t>(документа об итогах проведения отбора) на едином портале и на сайте Департамента ЖКХ в сети Интернет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Информация о результатах рассмотрения заявок участников отбора (протокол подведения итогов отбора) размещается на едином портале, а также на официальном сайте Департамента ЖКХ в информационно-телекоммуникационной сети Интернет в срок, который не может быть позднее 5 календарных дней, следующего за днем определения победителя отбора.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Информация включает следующие сведения: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дату, время и место проведения рассмотрения заявок;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информацию об участниках отбора, заявки которых были рассмотрены;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unhideWhenUsed/>
    <w:qFormat/>
    <w:rsid w:val="00fa660d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336d9"/>
    <w:rPr>
      <w:rFonts w:ascii="Tahoma" w:hAnsi="Tahoma" w:cs="Tahoma"/>
      <w:sz w:val="16"/>
      <w:szCs w:val="16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a660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336d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17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kh.ivanovoobl.ru/" TargetMode="External"/><Relationship Id="rId3" Type="http://schemas.openxmlformats.org/officeDocument/2006/relationships/hyperlink" Target="https://login.consultant.ru/link/?req=doc&amp;base=RLAW224&amp;n=189582&amp;dst=100387" TargetMode="External"/><Relationship Id="rId4" Type="http://schemas.openxmlformats.org/officeDocument/2006/relationships/hyperlink" Target="https://login.consultant.ru/link/?req=doc&amp;base=LAW&amp;n=420230&amp;dst=100010" TargetMode="External"/><Relationship Id="rId5" Type="http://schemas.openxmlformats.org/officeDocument/2006/relationships/hyperlink" Target="https://login.consultant.ru/link/?req=doc&amp;base=LAW&amp;n=121087&amp;dst=100142" TargetMode="External"/><Relationship Id="rId6" Type="http://schemas.openxmlformats.org/officeDocument/2006/relationships/hyperlink" Target="https://login.consultant.ru/link/?req=doc&amp;base=RLAW224&amp;n=154190&amp;dst=100023" TargetMode="External"/><Relationship Id="rId7" Type="http://schemas.openxmlformats.org/officeDocument/2006/relationships/hyperlink" Target="https://login.consultant.ru/link/?req=doc&amp;base=LAW&amp;n=465999" TargetMode="External"/><Relationship Id="rId8" Type="http://schemas.openxmlformats.org/officeDocument/2006/relationships/hyperlink" Target="https://login.consultant.ru/link/?req=doc&amp;base=RLAW224&amp;n=189582&amp;dst=100376" TargetMode="External"/><Relationship Id="rId9" Type="http://schemas.openxmlformats.org/officeDocument/2006/relationships/hyperlink" Target="https://login.consultant.ru/link/?req=doc&amp;base=RLAW224&amp;n=189582&amp;dst=100382" TargetMode="External"/><Relationship Id="rId10" Type="http://schemas.openxmlformats.org/officeDocument/2006/relationships/hyperlink" Target="https://login.consultant.ru/link/?req=doc&amp;base=RLAW224&amp;n=189865&amp;dst=100947" TargetMode="External"/><Relationship Id="rId11" Type="http://schemas.openxmlformats.org/officeDocument/2006/relationships/hyperlink" Target="https://login.consultant.ru/link/?req=doc&amp;base=RLAW224&amp;n=189865&amp;dst=100967" TargetMode="External"/><Relationship Id="rId12" Type="http://schemas.openxmlformats.org/officeDocument/2006/relationships/hyperlink" Target="https://login.consultant.ru/link/?req=doc&amp;base=RLAW224&amp;n=189865&amp;dst=100966" TargetMode="External"/><Relationship Id="rId13" Type="http://schemas.openxmlformats.org/officeDocument/2006/relationships/hyperlink" Target="https://login.consultant.ru/link/?req=doc&amp;base=RLAW224&amp;n=189865&amp;dst=100947" TargetMode="External"/><Relationship Id="rId14" Type="http://schemas.openxmlformats.org/officeDocument/2006/relationships/hyperlink" Target="https://login.consultant.ru/link/?req=doc&amp;base=RLAW224&amp;n=189865&amp;dst=100947" TargetMode="External"/><Relationship Id="rId15" Type="http://schemas.openxmlformats.org/officeDocument/2006/relationships/hyperlink" Target="https://login.consultant.ru/link/?req=doc&amp;base=RLAW224&amp;n=189865&amp;dst=100936" TargetMode="External"/><Relationship Id="rId16" Type="http://schemas.openxmlformats.org/officeDocument/2006/relationships/hyperlink" Target="https://login.consultant.ru/link/?req=doc&amp;base=RLAW224&amp;n=189865&amp;dst=100942" TargetMode="External"/><Relationship Id="rId17" Type="http://schemas.openxmlformats.org/officeDocument/2006/relationships/hyperlink" Target="https://login.consultant.ru/link/?req=doc&amp;base=RLAW224&amp;n=189865&amp;dst=100947" TargetMode="External"/><Relationship Id="rId18" Type="http://schemas.openxmlformats.org/officeDocument/2006/relationships/hyperlink" Target="https://login.consultant.ru/link/?req=doc&amp;base=RLAW224&amp;n=189865&amp;dst=100947" TargetMode="External"/><Relationship Id="rId19" Type="http://schemas.openxmlformats.org/officeDocument/2006/relationships/hyperlink" Target="https://login.consultant.ru/link/?req=doc&amp;base=RLAW224&amp;n=189865&amp;dst=100947" TargetMode="External"/><Relationship Id="rId20" Type="http://schemas.openxmlformats.org/officeDocument/2006/relationships/hyperlink" Target="https://login.consultant.ru/link/?req=doc&amp;base=RLAW224&amp;n=189865&amp;dst=101036" TargetMode="External"/><Relationship Id="rId21" Type="http://schemas.openxmlformats.org/officeDocument/2006/relationships/hyperlink" Target="https://login.consultant.ru/link/?req=doc&amp;base=RLAW224&amp;n=189865&amp;dst=100936" TargetMode="External"/><Relationship Id="rId22" Type="http://schemas.openxmlformats.org/officeDocument/2006/relationships/hyperlink" Target="https://login.consultant.ru/link/?req=doc&amp;base=RLAW224&amp;n=189865&amp;dst=100942" TargetMode="External"/><Relationship Id="rId23" Type="http://schemas.openxmlformats.org/officeDocument/2006/relationships/hyperlink" Target="https://login.consultant.ru/link/?req=doc&amp;base=RLAW224&amp;n=189865&amp;dst=100947" TargetMode="External"/><Relationship Id="rId24" Type="http://schemas.openxmlformats.org/officeDocument/2006/relationships/hyperlink" Target="https://login.consultant.ru/link/?req=doc&amp;base=RLAW224&amp;n=189865&amp;dst=100966" TargetMode="External"/><Relationship Id="rId25" Type="http://schemas.openxmlformats.org/officeDocument/2006/relationships/hyperlink" Target="https://login.consultant.ru/link/?req=doc&amp;base=RLAW224&amp;n=189865&amp;dst=100947" TargetMode="External"/><Relationship Id="rId26" Type="http://schemas.openxmlformats.org/officeDocument/2006/relationships/hyperlink" Target="https://login.consultant.ru/link/?req=doc&amp;base=RLAW224&amp;n=189865&amp;dst=100936" TargetMode="External"/><Relationship Id="rId27" Type="http://schemas.openxmlformats.org/officeDocument/2006/relationships/hyperlink" Target="https://login.consultant.ru/link/?req=doc&amp;base=RLAW224&amp;n=189865&amp;dst=100942" TargetMode="External"/><Relationship Id="rId28" Type="http://schemas.openxmlformats.org/officeDocument/2006/relationships/image" Target="media/image1.wmf"/><Relationship Id="rId29" Type="http://schemas.openxmlformats.org/officeDocument/2006/relationships/hyperlink" Target="https://login.consultant.ru/link/?req=doc&amp;base=RLAW224&amp;n=189865&amp;dst=101036" TargetMode="Externa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971D-2FBA-40BD-822A-38C1B8ED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Application>LibreOffice/24.2.4.2$Windows_X86_64 LibreOffice_project/51a6219feb6075d9a4c46691dcfe0cd9c4fff3c2</Application>
  <AppVersion>15.0000</AppVersion>
  <Pages>10</Pages>
  <Words>2487</Words>
  <Characters>18050</Characters>
  <CharactersWithSpaces>20430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2022-09-09T08:12:00Z</dcterms:created>
  <dc:creator>Эльвира Гудкова</dc:creator>
  <dc:description/>
  <dc:language>ru-RU</dc:language>
  <cp:lastModifiedBy/>
  <dcterms:modified xsi:type="dcterms:W3CDTF">2024-11-27T12:52:05Z</dcterms:modified>
  <cp:revision>132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