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163B66">
        <w:rPr>
          <w:rFonts w:ascii="Times New Roman" w:hAnsi="Times New Roman" w:cs="Times New Roman"/>
          <w:sz w:val="24"/>
          <w:szCs w:val="24"/>
        </w:rPr>
        <w:t>49</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163B66">
        <w:rPr>
          <w:rFonts w:ascii="Times New Roman" w:hAnsi="Times New Roman" w:cs="Times New Roman"/>
          <w:sz w:val="24"/>
          <w:szCs w:val="24"/>
        </w:rPr>
        <w:t>16</w:t>
      </w:r>
      <w:r w:rsidRPr="00960306">
        <w:rPr>
          <w:rFonts w:ascii="Times New Roman" w:hAnsi="Times New Roman" w:cs="Times New Roman"/>
          <w:sz w:val="24"/>
          <w:szCs w:val="24"/>
        </w:rPr>
        <w:t xml:space="preserve">» </w:t>
      </w:r>
      <w:r w:rsidR="00163B66">
        <w:rPr>
          <w:rFonts w:ascii="Times New Roman" w:hAnsi="Times New Roman" w:cs="Times New Roman"/>
          <w:sz w:val="24"/>
          <w:szCs w:val="24"/>
        </w:rPr>
        <w:t>мая</w:t>
      </w:r>
      <w:r w:rsidR="00F81ECE">
        <w:rPr>
          <w:rFonts w:ascii="Times New Roman" w:hAnsi="Times New Roman" w:cs="Times New Roman"/>
          <w:sz w:val="24"/>
          <w:szCs w:val="24"/>
        </w:rPr>
        <w:t xml:space="preserve"> 202</w:t>
      </w:r>
      <w:r w:rsidR="00235BF7">
        <w:rPr>
          <w:rFonts w:ascii="Times New Roman" w:hAnsi="Times New Roman" w:cs="Times New Roman"/>
          <w:sz w:val="24"/>
          <w:szCs w:val="24"/>
        </w:rPr>
        <w:t>5</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416A91">
        <w:rPr>
          <w:rFonts w:ascii="Times New Roman" w:eastAsia="Times New Roman" w:hAnsi="Times New Roman" w:cs="Times New Roman"/>
          <w:b/>
          <w:sz w:val="28"/>
          <w:szCs w:val="28"/>
          <w:lang w:eastAsia="ru-RU"/>
        </w:rPr>
        <w:t>1</w:t>
      </w:r>
      <w:r w:rsidR="00CE6D5E">
        <w:rPr>
          <w:rFonts w:ascii="Times New Roman" w:eastAsia="Times New Roman" w:hAnsi="Times New Roman" w:cs="Times New Roman"/>
          <w:b/>
          <w:sz w:val="28"/>
          <w:szCs w:val="28"/>
          <w:lang w:eastAsia="ru-RU"/>
        </w:rPr>
        <w:t>.2</w:t>
      </w:r>
      <w:r w:rsidR="00235BF7">
        <w:rPr>
          <w:rFonts w:ascii="Times New Roman" w:eastAsia="Times New Roman" w:hAnsi="Times New Roman" w:cs="Times New Roman"/>
          <w:b/>
          <w:sz w:val="28"/>
          <w:szCs w:val="28"/>
          <w:lang w:eastAsia="ru-RU"/>
        </w:rPr>
        <w:t>5</w:t>
      </w:r>
      <w:r w:rsidR="00627155">
        <w:rPr>
          <w:rFonts w:ascii="Times New Roman" w:eastAsia="Times New Roman" w:hAnsi="Times New Roman" w:cs="Times New Roman"/>
          <w:b/>
          <w:sz w:val="28"/>
          <w:szCs w:val="28"/>
          <w:lang w:eastAsia="ru-RU"/>
        </w:rPr>
        <w:t>.</w:t>
      </w:r>
      <w:r w:rsidR="00163B66">
        <w:rPr>
          <w:rFonts w:ascii="Times New Roman" w:eastAsia="Times New Roman" w:hAnsi="Times New Roman" w:cs="Times New Roman"/>
          <w:b/>
          <w:sz w:val="28"/>
          <w:szCs w:val="28"/>
          <w:lang w:eastAsia="ru-RU"/>
        </w:rPr>
        <w:t>2</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235BF7">
        <w:rPr>
          <w:rFonts w:ascii="Times New Roman" w:hAnsi="Times New Roman" w:cs="Times New Roman"/>
          <w:b/>
          <w:sz w:val="28"/>
          <w:szCs w:val="28"/>
        </w:rPr>
        <w:t>5</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416A91">
        <w:rPr>
          <w:rFonts w:ascii="Times New Roman" w:hAnsi="Times New Roman"/>
          <w:b/>
          <w:bCs/>
          <w:sz w:val="28"/>
          <w:szCs w:val="28"/>
        </w:rPr>
        <w:t>1</w:t>
      </w:r>
      <w:r w:rsidR="00F81ECE">
        <w:rPr>
          <w:rFonts w:ascii="Times New Roman" w:hAnsi="Times New Roman"/>
          <w:b/>
          <w:bCs/>
          <w:sz w:val="28"/>
          <w:szCs w:val="28"/>
        </w:rPr>
        <w:t>.2</w:t>
      </w:r>
      <w:r w:rsidR="00235BF7">
        <w:rPr>
          <w:rFonts w:ascii="Times New Roman" w:hAnsi="Times New Roman"/>
          <w:b/>
          <w:bCs/>
          <w:sz w:val="28"/>
          <w:szCs w:val="28"/>
        </w:rPr>
        <w:t>5</w:t>
      </w:r>
      <w:r w:rsidR="00B24290">
        <w:rPr>
          <w:rFonts w:ascii="Times New Roman" w:hAnsi="Times New Roman"/>
          <w:b/>
          <w:bCs/>
          <w:sz w:val="28"/>
          <w:szCs w:val="28"/>
        </w:rPr>
        <w:t>.</w:t>
      </w:r>
      <w:r w:rsidR="00163B66">
        <w:rPr>
          <w:rFonts w:ascii="Times New Roman" w:hAnsi="Times New Roman"/>
          <w:b/>
          <w:bCs/>
          <w:sz w:val="28"/>
          <w:szCs w:val="28"/>
        </w:rPr>
        <w:t>2</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proofErr w:type="gramStart"/>
      <w:r w:rsidR="00416A91" w:rsidRPr="00416A91">
        <w:rPr>
          <w:rFonts w:ascii="Times New Roman" w:eastAsia="Calibri" w:hAnsi="Times New Roman" w:cs="Times New Roman"/>
          <w:sz w:val="24"/>
          <w:szCs w:val="24"/>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163B66">
        <w:rPr>
          <w:rFonts w:ascii="Times New Roman" w:hAnsi="Times New Roman"/>
          <w:bCs/>
          <w:sz w:val="24"/>
        </w:rPr>
        <w:t>17</w:t>
      </w:r>
      <w:r w:rsidR="009411B7" w:rsidRPr="00E35398">
        <w:rPr>
          <w:rFonts w:ascii="Times New Roman" w:hAnsi="Times New Roman"/>
          <w:bCs/>
          <w:sz w:val="24"/>
        </w:rPr>
        <w:t xml:space="preserve">» </w:t>
      </w:r>
      <w:r w:rsidR="00163B66">
        <w:rPr>
          <w:rFonts w:ascii="Times New Roman" w:hAnsi="Times New Roman"/>
          <w:bCs/>
          <w:sz w:val="24"/>
        </w:rPr>
        <w:t>мая</w:t>
      </w:r>
      <w:r w:rsidR="0048189A">
        <w:rPr>
          <w:rFonts w:ascii="Times New Roman" w:hAnsi="Times New Roman"/>
          <w:bCs/>
          <w:sz w:val="24"/>
        </w:rPr>
        <w:t xml:space="preserve"> 20</w:t>
      </w:r>
      <w:r w:rsidR="00F81ECE">
        <w:rPr>
          <w:rFonts w:ascii="Times New Roman" w:hAnsi="Times New Roman"/>
          <w:bCs/>
          <w:sz w:val="24"/>
        </w:rPr>
        <w:t>2</w:t>
      </w:r>
      <w:r w:rsidR="00235BF7">
        <w:rPr>
          <w:rFonts w:ascii="Times New Roman" w:hAnsi="Times New Roman"/>
          <w:bCs/>
          <w:sz w:val="24"/>
        </w:rPr>
        <w:t>5</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163B66">
        <w:rPr>
          <w:rFonts w:ascii="Times New Roman" w:hAnsi="Times New Roman"/>
          <w:bCs/>
          <w:sz w:val="24"/>
        </w:rPr>
        <w:t>09</w:t>
      </w:r>
      <w:r w:rsidRPr="00E35398">
        <w:rPr>
          <w:rFonts w:ascii="Times New Roman" w:hAnsi="Times New Roman"/>
          <w:bCs/>
          <w:sz w:val="24"/>
        </w:rPr>
        <w:t xml:space="preserve">» </w:t>
      </w:r>
      <w:r w:rsidR="00163B66">
        <w:rPr>
          <w:rFonts w:ascii="Times New Roman" w:hAnsi="Times New Roman"/>
          <w:bCs/>
          <w:sz w:val="24"/>
        </w:rPr>
        <w:t>июня</w:t>
      </w:r>
      <w:r w:rsidR="00CE6D5E">
        <w:rPr>
          <w:rFonts w:ascii="Times New Roman" w:hAnsi="Times New Roman"/>
          <w:bCs/>
          <w:sz w:val="24"/>
        </w:rPr>
        <w:t xml:space="preserve"> 202</w:t>
      </w:r>
      <w:r w:rsidR="00235BF7">
        <w:rPr>
          <w:rFonts w:ascii="Times New Roman" w:hAnsi="Times New Roman"/>
          <w:bCs/>
          <w:sz w:val="24"/>
        </w:rPr>
        <w:t>5</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235BF7">
        <w:rPr>
          <w:rFonts w:ascii="Times New Roman" w:hAnsi="Times New Roman"/>
          <w:bCs/>
          <w:sz w:val="24"/>
        </w:rPr>
        <w:t>2</w:t>
      </w:r>
      <w:r w:rsidR="00163B66">
        <w:rPr>
          <w:rFonts w:ascii="Times New Roman" w:hAnsi="Times New Roman"/>
          <w:bCs/>
          <w:sz w:val="24"/>
        </w:rPr>
        <w:t>0</w:t>
      </w:r>
      <w:r w:rsidR="00253BB2" w:rsidRPr="00E35398">
        <w:rPr>
          <w:rFonts w:ascii="Times New Roman" w:hAnsi="Times New Roman"/>
          <w:bCs/>
          <w:sz w:val="24"/>
        </w:rPr>
        <w:t xml:space="preserve">» </w:t>
      </w:r>
      <w:r w:rsidR="00163B66">
        <w:rPr>
          <w:rFonts w:ascii="Times New Roman" w:hAnsi="Times New Roman"/>
          <w:bCs/>
          <w:sz w:val="24"/>
        </w:rPr>
        <w:t>июня</w:t>
      </w:r>
      <w:r w:rsidR="00F81ECE">
        <w:rPr>
          <w:rFonts w:ascii="Times New Roman" w:hAnsi="Times New Roman"/>
          <w:bCs/>
          <w:sz w:val="24"/>
        </w:rPr>
        <w:t xml:space="preserve"> 202</w:t>
      </w:r>
      <w:r w:rsidR="00235BF7">
        <w:rPr>
          <w:rFonts w:ascii="Times New Roman" w:hAnsi="Times New Roman"/>
          <w:bCs/>
          <w:sz w:val="24"/>
        </w:rPr>
        <w:t>5</w:t>
      </w:r>
      <w:r w:rsidR="0005222C" w:rsidRPr="00E35398">
        <w:rPr>
          <w:rFonts w:ascii="Times New Roman" w:hAnsi="Times New Roman"/>
          <w:bCs/>
          <w:sz w:val="24"/>
        </w:rPr>
        <w:t xml:space="preserve"> года</w:t>
      </w:r>
    </w:p>
    <w:p w:rsidR="00A3382A"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Default="001036E7" w:rsidP="00B55C0C">
      <w:pPr>
        <w:tabs>
          <w:tab w:val="left" w:pos="3060"/>
        </w:tabs>
        <w:spacing w:after="0" w:line="240" w:lineRule="auto"/>
        <w:ind w:right="2"/>
        <w:jc w:val="both"/>
        <w:rPr>
          <w:rFonts w:ascii="Times New Roman" w:hAnsi="Times New Roman"/>
          <w:bCs/>
          <w:sz w:val="24"/>
        </w:rPr>
      </w:pPr>
    </w:p>
    <w:p w:rsidR="001036E7" w:rsidRPr="00E35398" w:rsidRDefault="001036E7" w:rsidP="00B55C0C">
      <w:pPr>
        <w:tabs>
          <w:tab w:val="left" w:pos="3060"/>
        </w:tabs>
        <w:spacing w:after="0" w:line="240" w:lineRule="auto"/>
        <w:ind w:right="2"/>
        <w:jc w:val="both"/>
        <w:rPr>
          <w:rFonts w:ascii="Times New Roman" w:hAnsi="Times New Roman"/>
          <w:bCs/>
          <w:sz w:val="24"/>
        </w:rPr>
      </w:pP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CE2049">
      <w:pPr>
        <w:pStyle w:val="a4"/>
        <w:numPr>
          <w:ilvl w:val="0"/>
          <w:numId w:val="24"/>
        </w:numPr>
        <w:tabs>
          <w:tab w:val="left" w:pos="284"/>
        </w:tabs>
        <w:spacing w:after="0" w:line="240" w:lineRule="auto"/>
        <w:contextualSpacing w:val="0"/>
        <w:jc w:val="center"/>
        <w:rPr>
          <w:rFonts w:ascii="Times New Roman" w:hAnsi="Times New Roman" w:cs="Times New Roman"/>
          <w:b/>
          <w:sz w:val="28"/>
          <w:szCs w:val="28"/>
        </w:rPr>
      </w:pPr>
      <w:proofErr w:type="gramStart"/>
      <w:r w:rsidRPr="00E35398">
        <w:rPr>
          <w:rFonts w:ascii="Times New Roman" w:hAnsi="Times New Roman" w:cs="Times New Roman"/>
          <w:b/>
          <w:sz w:val="28"/>
          <w:szCs w:val="28"/>
        </w:rPr>
        <w:lastRenderedPageBreak/>
        <w:t xml:space="preserve">Требования к </w:t>
      </w:r>
      <w:r w:rsidR="00CE2049">
        <w:rPr>
          <w:rFonts w:ascii="Times New Roman" w:hAnsi="Times New Roman" w:cs="Times New Roman"/>
          <w:b/>
          <w:sz w:val="28"/>
          <w:szCs w:val="28"/>
        </w:rPr>
        <w:t>оказанию</w:t>
      </w:r>
      <w:r w:rsidR="00CE2049" w:rsidRPr="00CE2049">
        <w:rPr>
          <w:rFonts w:ascii="Times New Roman" w:hAnsi="Times New Roman" w:cs="Times New Roman"/>
          <w:b/>
          <w:sz w:val="28"/>
          <w:szCs w:val="28"/>
        </w:rPr>
        <w:t xml:space="preserve"> услуг и (или) выполнени</w:t>
      </w:r>
      <w:r w:rsidR="00CE2049">
        <w:rPr>
          <w:rFonts w:ascii="Times New Roman" w:hAnsi="Times New Roman" w:cs="Times New Roman"/>
          <w:b/>
          <w:sz w:val="28"/>
          <w:szCs w:val="28"/>
        </w:rPr>
        <w:t>ю</w:t>
      </w:r>
      <w:r w:rsidR="00CE2049" w:rsidRPr="00CE2049">
        <w:rPr>
          <w:rFonts w:ascii="Times New Roman" w:hAnsi="Times New Roman" w:cs="Times New Roman"/>
          <w:b/>
          <w:sz w:val="28"/>
          <w:szCs w:val="28"/>
        </w:rPr>
        <w:t xml:space="preserve">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roofErr w:type="gramEnd"/>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proofErr w:type="gramStart"/>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C43C02" w:rsidRPr="00C43C02">
              <w:rPr>
                <w:rFonts w:ascii="Times New Roman" w:eastAsia="Times New Roman" w:hAnsi="Times New Roman" w:cs="Times New Roman"/>
                <w:sz w:val="24"/>
                <w:szCs w:val="24"/>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w:t>
            </w:r>
            <w:proofErr w:type="gramEnd"/>
            <w:r w:rsidR="00C43C02" w:rsidRPr="00C43C02">
              <w:rPr>
                <w:rFonts w:ascii="Times New Roman" w:eastAsia="Times New Roman" w:hAnsi="Times New Roman" w:cs="Times New Roman"/>
                <w:sz w:val="24"/>
                <w:szCs w:val="24"/>
                <w:lang w:eastAsia="ru-RU"/>
              </w:rPr>
              <w:t xml:space="preserve">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w:t>
            </w:r>
            <w:r w:rsidRPr="00E35398">
              <w:rPr>
                <w:rFonts w:ascii="Times New Roman" w:eastAsia="Times New Roman" w:hAnsi="Times New Roman" w:cs="Times New Roman"/>
                <w:sz w:val="24"/>
                <w:szCs w:val="24"/>
                <w:lang w:eastAsia="ru-RU"/>
              </w:rPr>
              <w:lastRenderedPageBreak/>
              <w:t>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со сметной (проектной – при наличии) 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1036E7" w:rsidRDefault="00F561B1" w:rsidP="00235BF7">
      <w:pPr>
        <w:pStyle w:val="a4"/>
        <w:numPr>
          <w:ilvl w:val="0"/>
          <w:numId w:val="24"/>
        </w:numPr>
        <w:spacing w:after="0" w:line="240" w:lineRule="auto"/>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 xml:space="preserve">Сведения о существенных условиях договора </w:t>
      </w:r>
      <w:r w:rsidR="00235BF7" w:rsidRPr="001036E7">
        <w:rPr>
          <w:rStyle w:val="aa"/>
          <w:rFonts w:ascii="Times New Roman" w:hAnsi="Times New Roman" w:cs="Times New Roman"/>
          <w:b/>
          <w:sz w:val="28"/>
          <w:szCs w:val="28"/>
        </w:rPr>
        <w:t>строительного подряда, предусмотренного частью 7 статьи 166 Жилищного кодекса Российской Федерации</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proofErr w:type="gramStart"/>
            <w:r w:rsidRPr="00E35398">
              <w:rPr>
                <w:rStyle w:val="aa"/>
                <w:rFonts w:ascii="Times New Roman" w:hAnsi="Times New Roman" w:cs="Times New Roman"/>
                <w:sz w:val="24"/>
                <w:szCs w:val="24"/>
              </w:rPr>
              <w:t xml:space="preserve">Предметом договора является </w:t>
            </w:r>
            <w:r w:rsidR="00416A91">
              <w:rPr>
                <w:rStyle w:val="aa"/>
                <w:rFonts w:ascii="Times New Roman" w:hAnsi="Times New Roman" w:cs="Times New Roman"/>
                <w:sz w:val="24"/>
                <w:szCs w:val="24"/>
              </w:rPr>
              <w:t>о</w:t>
            </w:r>
            <w:r w:rsidR="00416A91" w:rsidRPr="00416A91">
              <w:rPr>
                <w:rFonts w:ascii="Times New Roman" w:hAnsi="Times New Roman" w:cs="Times New Roman"/>
                <w:i/>
                <w:sz w:val="24"/>
                <w:szCs w:val="24"/>
              </w:rPr>
              <w:t xml:space="preserve">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w:t>
            </w:r>
            <w:r w:rsidR="00416A91" w:rsidRPr="00416A91">
              <w:rPr>
                <w:rFonts w:ascii="Times New Roman" w:hAnsi="Times New Roman" w:cs="Times New Roman"/>
                <w:i/>
                <w:sz w:val="24"/>
                <w:szCs w:val="24"/>
              </w:rPr>
              <w:lastRenderedPageBreak/>
              <w:t>пунктом 6 статьи 56.1 указанного Федерального закона</w:t>
            </w:r>
            <w:r w:rsidR="00416A91">
              <w:rPr>
                <w:rFonts w:ascii="Times New Roman" w:hAnsi="Times New Roman" w:cs="Times New Roman"/>
                <w:i/>
                <w:sz w:val="24"/>
                <w:szCs w:val="24"/>
              </w:rPr>
              <w:t>.</w:t>
            </w:r>
            <w:proofErr w:type="gramEnd"/>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оказания услуг и (или)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lastRenderedPageBreak/>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 xml:space="preserve">а территории </w:t>
      </w:r>
      <w:r>
        <w:rPr>
          <w:rFonts w:ascii="Times New Roman" w:hAnsi="Times New Roman" w:cs="Times New Roman"/>
          <w:sz w:val="28"/>
          <w:szCs w:val="28"/>
        </w:rPr>
        <w:lastRenderedPageBreak/>
        <w:t>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416A91">
        <w:rPr>
          <w:rFonts w:ascii="Times New Roman" w:hAnsi="Times New Roman" w:cs="Times New Roman"/>
          <w:sz w:val="28"/>
          <w:szCs w:val="28"/>
        </w:rPr>
        <w:t>о</w:t>
      </w:r>
      <w:r w:rsidR="00416A91" w:rsidRPr="00416A91">
        <w:rPr>
          <w:rFonts w:ascii="Times New Roman" w:hAnsi="Times New Roman" w:cs="Times New Roman"/>
          <w:i/>
          <w:sz w:val="28"/>
          <w:szCs w:val="28"/>
        </w:rPr>
        <w:t>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культурного наследия, в случаях, предусмотренных пунктом 6</w:t>
      </w:r>
      <w:proofErr w:type="gramEnd"/>
      <w:r w:rsidR="00416A91" w:rsidRPr="00416A91">
        <w:rPr>
          <w:rFonts w:ascii="Times New Roman" w:hAnsi="Times New Roman" w:cs="Times New Roman"/>
          <w:i/>
          <w:sz w:val="28"/>
          <w:szCs w:val="28"/>
        </w:rPr>
        <w:t xml:space="preserve"> статьи 56.1 указанного Федерального закона</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r w:rsidR="00E95E72">
        <w:rPr>
          <w:rFonts w:ascii="Times New Roman" w:eastAsia="Calibri" w:hAnsi="Times New Roman" w:cs="Times New Roman"/>
          <w:sz w:val="28"/>
          <w:szCs w:val="28"/>
        </w:rPr>
        <w:t xml:space="preserve">, </w:t>
      </w:r>
      <w:r w:rsidR="00E95E72" w:rsidRPr="001036E7">
        <w:rPr>
          <w:rFonts w:ascii="Times New Roman" w:eastAsia="Calibri"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9136C2" w:rsidRPr="001036E7">
        <w:rPr>
          <w:rFonts w:ascii="Times New Roman" w:eastAsia="Calibri" w:hAnsi="Times New Roman" w:cs="Times New Roman"/>
          <w:sz w:val="28"/>
          <w:szCs w:val="28"/>
        </w:rPr>
        <w:t>;</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 xml:space="preserve">аказчика, член комиссии по проведению предварительного </w:t>
      </w:r>
      <w:r w:rsidR="0064132A" w:rsidRPr="00E35398">
        <w:rPr>
          <w:rFonts w:ascii="Times New Roman" w:hAnsi="Times New Roman" w:cs="Times New Roman"/>
          <w:sz w:val="28"/>
          <w:szCs w:val="28"/>
        </w:rPr>
        <w:lastRenderedPageBreak/>
        <w:t>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lastRenderedPageBreak/>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w:t>
      </w:r>
      <w:r w:rsidRPr="00ED4F59">
        <w:rPr>
          <w:rFonts w:ascii="Times New Roman" w:hAnsi="Times New Roman" w:cs="Times New Roman"/>
          <w:sz w:val="28"/>
          <w:szCs w:val="28"/>
        </w:rPr>
        <w:lastRenderedPageBreak/>
        <w:t>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lastRenderedPageBreak/>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w:t>
      </w:r>
      <w:r w:rsidR="003A12E6" w:rsidRPr="00E35398">
        <w:rPr>
          <w:rStyle w:val="aa"/>
          <w:rFonts w:ascii="Times New Roman" w:hAnsi="Times New Roman" w:cs="Times New Roman"/>
          <w:sz w:val="28"/>
          <w:szCs w:val="28"/>
        </w:rPr>
        <w:lastRenderedPageBreak/>
        <w:t>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416A91">
        <w:rPr>
          <w:rFonts w:ascii="Times New Roman" w:hAnsi="Times New Roman" w:cs="Times New Roman"/>
          <w:b/>
          <w:sz w:val="28"/>
          <w:szCs w:val="28"/>
        </w:rPr>
        <w:t>1</w:t>
      </w:r>
      <w:r w:rsidR="00F81ECE">
        <w:rPr>
          <w:rFonts w:ascii="Times New Roman" w:hAnsi="Times New Roman" w:cs="Times New Roman"/>
          <w:b/>
          <w:sz w:val="28"/>
          <w:szCs w:val="28"/>
        </w:rPr>
        <w:t>.2</w:t>
      </w:r>
      <w:r w:rsidR="00E95E72">
        <w:rPr>
          <w:rFonts w:ascii="Times New Roman" w:hAnsi="Times New Roman" w:cs="Times New Roman"/>
          <w:b/>
          <w:sz w:val="28"/>
          <w:szCs w:val="28"/>
        </w:rPr>
        <w:t>5</w:t>
      </w:r>
      <w:r w:rsidR="00A238E4">
        <w:rPr>
          <w:rFonts w:ascii="Times New Roman" w:hAnsi="Times New Roman" w:cs="Times New Roman"/>
          <w:b/>
          <w:sz w:val="28"/>
          <w:szCs w:val="28"/>
        </w:rPr>
        <w:t>.</w:t>
      </w:r>
      <w:r w:rsidR="00163B66">
        <w:rPr>
          <w:rFonts w:ascii="Times New Roman" w:hAnsi="Times New Roman" w:cs="Times New Roman"/>
          <w:b/>
          <w:sz w:val="28"/>
          <w:szCs w:val="28"/>
        </w:rPr>
        <w:t>2</w:t>
      </w:r>
      <w:r w:rsidR="00857C24" w:rsidRPr="00E35398">
        <w:rPr>
          <w:rFonts w:ascii="Times New Roman" w:hAnsi="Times New Roman" w:cs="Times New Roman"/>
          <w:b/>
          <w:sz w:val="28"/>
          <w:szCs w:val="28"/>
        </w:rPr>
        <w:t xml:space="preserve"> от </w:t>
      </w:r>
      <w:r w:rsidR="00163B66">
        <w:rPr>
          <w:rFonts w:ascii="Times New Roman" w:hAnsi="Times New Roman" w:cs="Times New Roman"/>
          <w:b/>
          <w:sz w:val="28"/>
          <w:szCs w:val="28"/>
        </w:rPr>
        <w:t>16</w:t>
      </w:r>
      <w:r w:rsidR="005F737E">
        <w:rPr>
          <w:rFonts w:ascii="Times New Roman" w:hAnsi="Times New Roman" w:cs="Times New Roman"/>
          <w:b/>
          <w:sz w:val="28"/>
          <w:szCs w:val="28"/>
        </w:rPr>
        <w:t>.</w:t>
      </w:r>
      <w:r w:rsidR="00E95E72">
        <w:rPr>
          <w:rFonts w:ascii="Times New Roman" w:hAnsi="Times New Roman" w:cs="Times New Roman"/>
          <w:b/>
          <w:sz w:val="28"/>
          <w:szCs w:val="28"/>
        </w:rPr>
        <w:t>0</w:t>
      </w:r>
      <w:r w:rsidR="00163B66">
        <w:rPr>
          <w:rFonts w:ascii="Times New Roman" w:hAnsi="Times New Roman" w:cs="Times New Roman"/>
          <w:b/>
          <w:sz w:val="28"/>
          <w:szCs w:val="28"/>
        </w:rPr>
        <w:t>5</w:t>
      </w:r>
      <w:r w:rsidR="00D84154">
        <w:rPr>
          <w:rFonts w:ascii="Times New Roman" w:hAnsi="Times New Roman" w:cs="Times New Roman"/>
          <w:b/>
          <w:sz w:val="28"/>
          <w:szCs w:val="28"/>
        </w:rPr>
        <w:t>.202</w:t>
      </w:r>
      <w:r w:rsidR="00E95E72">
        <w:rPr>
          <w:rFonts w:ascii="Times New Roman" w:hAnsi="Times New Roman" w:cs="Times New Roman"/>
          <w:b/>
          <w:sz w:val="28"/>
          <w:szCs w:val="28"/>
        </w:rPr>
        <w:t>5</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163B66">
        <w:rPr>
          <w:rFonts w:ascii="Times New Roman" w:hAnsi="Times New Roman" w:cs="Times New Roman"/>
          <w:b/>
          <w:sz w:val="28"/>
          <w:szCs w:val="28"/>
        </w:rPr>
        <w:t>30</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E95E72">
        <w:rPr>
          <w:rFonts w:ascii="Times New Roman" w:hAnsi="Times New Roman" w:cs="Times New Roman"/>
          <w:b/>
          <w:sz w:val="28"/>
          <w:szCs w:val="28"/>
        </w:rPr>
        <w:t>ма</w:t>
      </w:r>
      <w:r w:rsidR="00163B66">
        <w:rPr>
          <w:rFonts w:ascii="Times New Roman" w:hAnsi="Times New Roman" w:cs="Times New Roman"/>
          <w:b/>
          <w:sz w:val="28"/>
          <w:szCs w:val="28"/>
        </w:rPr>
        <w:t>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95E72">
        <w:rPr>
          <w:rFonts w:ascii="Times New Roman" w:hAnsi="Times New Roman" w:cs="Times New Roman"/>
          <w:b/>
          <w:sz w:val="28"/>
          <w:szCs w:val="28"/>
        </w:rPr>
        <w:t>5</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неквалифицированных электронных подписей должны быть созданы и выданы удостоверяющими центрами, получившими </w:t>
      </w:r>
      <w:r w:rsidRPr="00E35398">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Любой Участник и (или) его представитель вправе участвовать в </w:t>
      </w:r>
      <w:r w:rsidRPr="00E35398">
        <w:rPr>
          <w:rFonts w:ascii="Times New Roman" w:hAnsi="Times New Roman" w:cs="Times New Roman"/>
          <w:sz w:val="28"/>
          <w:szCs w:val="28"/>
        </w:rPr>
        <w:lastRenderedPageBreak/>
        <w:t>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bookmarkStart w:id="0" w:name="_GoBack"/>
      <w:bookmarkEnd w:id="0"/>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36E7"/>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63B6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5BF7"/>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16A9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3C02"/>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2049"/>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95E72"/>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4D94E-E493-45B5-B008-AFDFA871C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2041</TotalTime>
  <Pages>22</Pages>
  <Words>7337</Words>
  <Characters>41823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86</cp:revision>
  <cp:lastPrinted>2019-10-03T10:22:00Z</cp:lastPrinted>
  <dcterms:created xsi:type="dcterms:W3CDTF">2017-12-01T11:56:00Z</dcterms:created>
  <dcterms:modified xsi:type="dcterms:W3CDTF">2025-05-16T14:09:00Z</dcterms:modified>
</cp:coreProperties>
</file>